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A5DE" w14:textId="0F70A922" w:rsidR="00301416" w:rsidRDefault="00301416">
      <w:pPr>
        <w:rPr>
          <w:rFonts w:asciiTheme="majorHAnsi" w:hAnsiTheme="majorHAnsi" w:cstheme="majorHAnsi"/>
          <w:b/>
          <w:bCs/>
          <w:sz w:val="22"/>
          <w:szCs w:val="22"/>
        </w:rPr>
      </w:pPr>
      <w:r>
        <w:rPr>
          <w:noProof/>
        </w:rPr>
        <w:drawing>
          <wp:anchor distT="0" distB="0" distL="114300" distR="114300" simplePos="0" relativeHeight="251659264" behindDoc="0" locked="0" layoutInCell="1" hidden="0" allowOverlap="1" wp14:anchorId="6A6CCE3E" wp14:editId="1EC177F7">
            <wp:simplePos x="0" y="0"/>
            <wp:positionH relativeFrom="margin">
              <wp:align>left</wp:align>
            </wp:positionH>
            <wp:positionV relativeFrom="margin">
              <wp:align>top</wp:align>
            </wp:positionV>
            <wp:extent cx="2914650" cy="742315"/>
            <wp:effectExtent l="0" t="0" r="0" b="635"/>
            <wp:wrapTopAndBottom distT="0" distB="0"/>
            <wp:docPr id="2" name="image1.jpg" descr="A close-up of a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image1.jpg" descr="A close-up of a sign&#10;&#10;Description automatically generated with low confidence"/>
                    <pic:cNvPicPr preferRelativeResize="0"/>
                  </pic:nvPicPr>
                  <pic:blipFill>
                    <a:blip r:embed="rId8"/>
                    <a:srcRect/>
                    <a:stretch>
                      <a:fillRect/>
                    </a:stretch>
                  </pic:blipFill>
                  <pic:spPr>
                    <a:xfrm>
                      <a:off x="0" y="0"/>
                      <a:ext cx="2938766" cy="748768"/>
                    </a:xfrm>
                    <a:prstGeom prst="rect">
                      <a:avLst/>
                    </a:prstGeom>
                    <a:ln/>
                  </pic:spPr>
                </pic:pic>
              </a:graphicData>
            </a:graphic>
            <wp14:sizeRelH relativeFrom="margin">
              <wp14:pctWidth>0</wp14:pctWidth>
            </wp14:sizeRelH>
            <wp14:sizeRelV relativeFrom="margin">
              <wp14:pctHeight>0</wp14:pctHeight>
            </wp14:sizeRelV>
          </wp:anchor>
        </w:drawing>
      </w:r>
    </w:p>
    <w:p w14:paraId="008A19F4" w14:textId="77777777" w:rsidR="00301416" w:rsidRDefault="00301416">
      <w:pPr>
        <w:rPr>
          <w:rFonts w:asciiTheme="majorHAnsi" w:hAnsiTheme="majorHAnsi" w:cstheme="majorHAnsi"/>
          <w:b/>
          <w:bCs/>
          <w:sz w:val="22"/>
          <w:szCs w:val="22"/>
        </w:rPr>
      </w:pPr>
    </w:p>
    <w:p w14:paraId="258914F2" w14:textId="01BECAA4" w:rsidR="00231909" w:rsidRPr="000339A3" w:rsidRDefault="00231909">
      <w:pPr>
        <w:rPr>
          <w:rFonts w:asciiTheme="majorHAnsi" w:hAnsiTheme="majorHAnsi" w:cstheme="majorHAnsi"/>
          <w:b/>
          <w:bCs/>
          <w:sz w:val="22"/>
          <w:szCs w:val="22"/>
        </w:rPr>
      </w:pPr>
      <w:r w:rsidRPr="000339A3">
        <w:rPr>
          <w:rFonts w:asciiTheme="majorHAnsi" w:hAnsiTheme="majorHAnsi" w:cstheme="majorHAnsi"/>
          <w:b/>
          <w:bCs/>
          <w:sz w:val="22"/>
          <w:szCs w:val="22"/>
        </w:rPr>
        <w:t>REVIEW OF THE NATIONAL SCHOOL REFORM AGREEMENT</w:t>
      </w:r>
      <w:r w:rsidR="007D3908" w:rsidRPr="000339A3">
        <w:rPr>
          <w:rFonts w:asciiTheme="majorHAnsi" w:hAnsiTheme="majorHAnsi" w:cstheme="majorHAnsi"/>
          <w:b/>
          <w:bCs/>
          <w:sz w:val="22"/>
          <w:szCs w:val="22"/>
        </w:rPr>
        <w:br/>
      </w:r>
    </w:p>
    <w:p w14:paraId="61A8E635" w14:textId="77777777" w:rsidR="00734CA7" w:rsidRPr="00734CA7" w:rsidRDefault="00231909">
      <w:pPr>
        <w:rPr>
          <w:rFonts w:asciiTheme="majorHAnsi" w:hAnsiTheme="majorHAnsi" w:cstheme="majorHAnsi"/>
          <w:b/>
          <w:bCs/>
          <w:color w:val="063C2E"/>
          <w:sz w:val="22"/>
          <w:szCs w:val="22"/>
        </w:rPr>
      </w:pPr>
      <w:r w:rsidRPr="00734CA7">
        <w:rPr>
          <w:rFonts w:asciiTheme="majorHAnsi" w:hAnsiTheme="majorHAnsi" w:cstheme="majorHAnsi"/>
          <w:b/>
          <w:bCs/>
          <w:color w:val="063C2E"/>
          <w:sz w:val="22"/>
          <w:szCs w:val="22"/>
        </w:rPr>
        <w:t>Submission from Australian Learning Lecture</w:t>
      </w:r>
      <w:r w:rsidR="00CB73F3" w:rsidRPr="00734CA7">
        <w:rPr>
          <w:rFonts w:asciiTheme="majorHAnsi" w:hAnsiTheme="majorHAnsi" w:cstheme="majorHAnsi"/>
          <w:b/>
          <w:bCs/>
          <w:color w:val="063C2E"/>
          <w:sz w:val="22"/>
          <w:szCs w:val="22"/>
        </w:rPr>
        <w:t xml:space="preserve"> (ALL)</w:t>
      </w:r>
    </w:p>
    <w:p w14:paraId="1F335B38" w14:textId="27947126" w:rsidR="00231909" w:rsidRPr="000339A3" w:rsidRDefault="00231909">
      <w:pPr>
        <w:rPr>
          <w:rFonts w:asciiTheme="majorHAnsi" w:hAnsiTheme="majorHAnsi" w:cstheme="majorHAnsi"/>
          <w:b/>
          <w:bCs/>
          <w:sz w:val="22"/>
          <w:szCs w:val="22"/>
        </w:rPr>
      </w:pPr>
    </w:p>
    <w:p w14:paraId="52D26A94" w14:textId="2CC3B90A" w:rsidR="00CB73F3" w:rsidRPr="000339A3" w:rsidRDefault="00931D30">
      <w:pPr>
        <w:rPr>
          <w:rFonts w:asciiTheme="majorHAnsi" w:hAnsiTheme="majorHAnsi" w:cstheme="majorHAnsi"/>
          <w:sz w:val="22"/>
          <w:szCs w:val="22"/>
        </w:rPr>
      </w:pPr>
      <w:r w:rsidRPr="000339A3">
        <w:rPr>
          <w:rFonts w:asciiTheme="majorHAnsi" w:hAnsiTheme="majorHAnsi" w:cstheme="majorHAnsi"/>
          <w:sz w:val="22"/>
          <w:szCs w:val="22"/>
        </w:rPr>
        <w:t xml:space="preserve">This submission </w:t>
      </w:r>
      <w:r w:rsidR="000339A3" w:rsidRPr="000339A3">
        <w:rPr>
          <w:rFonts w:asciiTheme="majorHAnsi" w:hAnsiTheme="majorHAnsi" w:cstheme="majorHAnsi"/>
          <w:sz w:val="22"/>
          <w:szCs w:val="22"/>
        </w:rPr>
        <w:t>is from the Australian Learning Lecture</w:t>
      </w:r>
      <w:r w:rsidR="00301416">
        <w:rPr>
          <w:rStyle w:val="EndnoteReference"/>
          <w:rFonts w:asciiTheme="majorHAnsi" w:hAnsiTheme="majorHAnsi" w:cstheme="majorHAnsi"/>
          <w:sz w:val="22"/>
          <w:szCs w:val="22"/>
        </w:rPr>
        <w:endnoteReference w:id="1"/>
      </w:r>
      <w:r w:rsidRPr="000339A3">
        <w:rPr>
          <w:rFonts w:asciiTheme="majorHAnsi" w:hAnsiTheme="majorHAnsi" w:cstheme="majorHAnsi"/>
          <w:sz w:val="22"/>
          <w:szCs w:val="22"/>
        </w:rPr>
        <w:t>, in conjunction with</w:t>
      </w:r>
      <w:r w:rsidR="00654DE2">
        <w:rPr>
          <w:rFonts w:asciiTheme="majorHAnsi" w:hAnsiTheme="majorHAnsi" w:cstheme="majorHAnsi"/>
          <w:sz w:val="22"/>
          <w:szCs w:val="22"/>
        </w:rPr>
        <w:t xml:space="preserve"> </w:t>
      </w:r>
      <w:r w:rsidR="00B277F4">
        <w:rPr>
          <w:rFonts w:asciiTheme="majorHAnsi" w:hAnsiTheme="majorHAnsi" w:cstheme="majorHAnsi"/>
          <w:sz w:val="22"/>
          <w:szCs w:val="22"/>
        </w:rPr>
        <w:t xml:space="preserve">Tom Greenwell and </w:t>
      </w:r>
      <w:r w:rsidR="00802614" w:rsidRPr="000339A3">
        <w:rPr>
          <w:rFonts w:asciiTheme="majorHAnsi" w:hAnsiTheme="majorHAnsi" w:cstheme="majorHAnsi"/>
          <w:sz w:val="22"/>
          <w:szCs w:val="22"/>
        </w:rPr>
        <w:t>Chris Bonnor</w:t>
      </w:r>
      <w:r w:rsidRPr="000339A3">
        <w:rPr>
          <w:rFonts w:asciiTheme="majorHAnsi" w:hAnsiTheme="majorHAnsi" w:cstheme="majorHAnsi"/>
          <w:sz w:val="22"/>
          <w:szCs w:val="22"/>
        </w:rPr>
        <w:t xml:space="preserve">, </w:t>
      </w:r>
      <w:r w:rsidR="00802614" w:rsidRPr="000339A3">
        <w:rPr>
          <w:rFonts w:asciiTheme="majorHAnsi" w:hAnsiTheme="majorHAnsi" w:cstheme="majorHAnsi"/>
          <w:sz w:val="22"/>
          <w:szCs w:val="22"/>
        </w:rPr>
        <w:t xml:space="preserve">authors of </w:t>
      </w:r>
      <w:r w:rsidR="00802614" w:rsidRPr="000006CF">
        <w:rPr>
          <w:rFonts w:asciiTheme="majorHAnsi" w:hAnsiTheme="majorHAnsi" w:cstheme="majorHAnsi"/>
          <w:i/>
          <w:iCs/>
          <w:sz w:val="22"/>
          <w:szCs w:val="22"/>
        </w:rPr>
        <w:t>Waiting for Gonski: How Australia failed its schools</w:t>
      </w:r>
      <w:r w:rsidR="00802614" w:rsidRPr="000339A3">
        <w:rPr>
          <w:rFonts w:asciiTheme="majorHAnsi" w:hAnsiTheme="majorHAnsi" w:cstheme="majorHAnsi"/>
          <w:sz w:val="22"/>
          <w:szCs w:val="22"/>
        </w:rPr>
        <w:t xml:space="preserve">, published by UNSW Press. </w:t>
      </w:r>
    </w:p>
    <w:p w14:paraId="47505698" w14:textId="7016E6B3" w:rsidR="000339A3" w:rsidRPr="000339A3" w:rsidRDefault="000339A3">
      <w:pPr>
        <w:rPr>
          <w:rFonts w:asciiTheme="majorHAnsi" w:hAnsiTheme="majorHAnsi" w:cstheme="majorHAnsi"/>
          <w:sz w:val="22"/>
          <w:szCs w:val="22"/>
        </w:rPr>
      </w:pPr>
    </w:p>
    <w:p w14:paraId="72F63364" w14:textId="752F147C" w:rsidR="000339A3" w:rsidRPr="000006CF" w:rsidRDefault="000339A3" w:rsidP="000006CF">
      <w:pPr>
        <w:rPr>
          <w:rFonts w:asciiTheme="majorHAnsi" w:hAnsiTheme="majorHAnsi" w:cstheme="majorHAnsi"/>
          <w:sz w:val="22"/>
          <w:szCs w:val="22"/>
        </w:rPr>
      </w:pPr>
      <w:r w:rsidRPr="000006CF">
        <w:rPr>
          <w:rFonts w:asciiTheme="majorHAnsi" w:hAnsiTheme="majorHAnsi" w:cstheme="majorHAnsi"/>
          <w:sz w:val="22"/>
          <w:szCs w:val="22"/>
        </w:rPr>
        <w:t xml:space="preserve">The Australian Learning Lecture is a ten-year initiative by Koshland Education Innovation </w:t>
      </w:r>
      <w:r w:rsidR="00746D71">
        <w:rPr>
          <w:rFonts w:asciiTheme="majorHAnsi" w:hAnsiTheme="majorHAnsi" w:cstheme="majorHAnsi"/>
          <w:sz w:val="22"/>
          <w:szCs w:val="22"/>
        </w:rPr>
        <w:t>Ltd</w:t>
      </w:r>
      <w:r w:rsidR="00746D71">
        <w:rPr>
          <w:rStyle w:val="EndnoteReference"/>
          <w:rFonts w:asciiTheme="majorHAnsi" w:hAnsiTheme="majorHAnsi" w:cstheme="majorHAnsi"/>
          <w:sz w:val="22"/>
          <w:szCs w:val="22"/>
        </w:rPr>
        <w:endnoteReference w:id="2"/>
      </w:r>
      <w:r w:rsidR="00746D71">
        <w:rPr>
          <w:rFonts w:asciiTheme="majorHAnsi" w:hAnsiTheme="majorHAnsi" w:cstheme="majorHAnsi"/>
          <w:sz w:val="22"/>
          <w:szCs w:val="22"/>
        </w:rPr>
        <w:t xml:space="preserve"> </w:t>
      </w:r>
      <w:r w:rsidRPr="000006CF">
        <w:rPr>
          <w:rFonts w:asciiTheme="majorHAnsi" w:hAnsiTheme="majorHAnsi" w:cstheme="majorHAnsi"/>
          <w:sz w:val="22"/>
          <w:szCs w:val="22"/>
        </w:rPr>
        <w:t>designed to bring big ideas and new approaches in education</w:t>
      </w:r>
      <w:r w:rsidR="000006CF">
        <w:rPr>
          <w:rFonts w:asciiTheme="majorHAnsi" w:hAnsiTheme="majorHAnsi" w:cstheme="majorHAnsi"/>
          <w:sz w:val="22"/>
          <w:szCs w:val="22"/>
        </w:rPr>
        <w:t xml:space="preserve"> </w:t>
      </w:r>
      <w:r w:rsidRPr="000006CF">
        <w:rPr>
          <w:rFonts w:asciiTheme="majorHAnsi" w:hAnsiTheme="majorHAnsi" w:cstheme="majorHAnsi"/>
          <w:sz w:val="22"/>
          <w:szCs w:val="22"/>
        </w:rPr>
        <w:t>to national attention.</w:t>
      </w:r>
      <w:r w:rsidR="001B7E8F" w:rsidRPr="000006CF">
        <w:rPr>
          <w:rFonts w:asciiTheme="majorHAnsi" w:hAnsiTheme="majorHAnsi" w:cstheme="majorHAnsi"/>
          <w:sz w:val="22"/>
          <w:szCs w:val="22"/>
        </w:rPr>
        <w:t xml:space="preserve"> </w:t>
      </w:r>
      <w:r w:rsidRPr="000006CF">
        <w:rPr>
          <w:rFonts w:asciiTheme="majorHAnsi" w:hAnsiTheme="majorHAnsi" w:cstheme="majorHAnsi"/>
          <w:sz w:val="22"/>
          <w:szCs w:val="22"/>
        </w:rPr>
        <w:t>The Australian Learning Lecture</w:t>
      </w:r>
      <w:r w:rsidR="00FA2BC3">
        <w:rPr>
          <w:rFonts w:asciiTheme="majorHAnsi" w:hAnsiTheme="majorHAnsi" w:cstheme="majorHAnsi"/>
          <w:sz w:val="22"/>
          <w:szCs w:val="22"/>
        </w:rPr>
        <w:t xml:space="preserve"> </w:t>
      </w:r>
      <w:r w:rsidRPr="000006CF">
        <w:rPr>
          <w:rFonts w:asciiTheme="majorHAnsi" w:hAnsiTheme="majorHAnsi" w:cstheme="majorHAnsi"/>
          <w:sz w:val="22"/>
          <w:szCs w:val="22"/>
        </w:rPr>
        <w:t>is built around a biennial lecture. Each lecture introduces a big new idea which is supported by an impact program. The program is designed to show that big ideas are possible in practice, to create awareness of the need for a learning culture and to build engagement with learning.</w:t>
      </w:r>
    </w:p>
    <w:p w14:paraId="7AD1AEB7" w14:textId="77777777" w:rsidR="000006CF" w:rsidRDefault="000006CF" w:rsidP="000006CF">
      <w:pPr>
        <w:rPr>
          <w:rFonts w:asciiTheme="majorHAnsi" w:hAnsiTheme="majorHAnsi" w:cstheme="majorHAnsi"/>
          <w:sz w:val="22"/>
          <w:szCs w:val="22"/>
        </w:rPr>
      </w:pPr>
    </w:p>
    <w:p w14:paraId="309E93C4" w14:textId="65CA0D03" w:rsidR="000339A3" w:rsidRDefault="000339A3" w:rsidP="000006CF">
      <w:pPr>
        <w:rPr>
          <w:rFonts w:asciiTheme="majorHAnsi" w:hAnsiTheme="majorHAnsi" w:cstheme="majorHAnsi"/>
          <w:sz w:val="22"/>
          <w:szCs w:val="22"/>
        </w:rPr>
      </w:pPr>
      <w:r w:rsidRPr="000006CF">
        <w:rPr>
          <w:rFonts w:asciiTheme="majorHAnsi" w:hAnsiTheme="majorHAnsi" w:cstheme="majorHAnsi"/>
          <w:sz w:val="22"/>
          <w:szCs w:val="22"/>
        </w:rPr>
        <w:t>ALL acts as a hub and a catalyst, working with the world’s leading knowledge shapers to drive impact in key areas of need for change. It draws on the input of multiple voices and stakeholders to strengthen the importance of learning for all Australians. ALL is not politically or commercially aligned.</w:t>
      </w:r>
    </w:p>
    <w:p w14:paraId="13621C1C" w14:textId="77777777" w:rsidR="000006CF" w:rsidRPr="000006CF" w:rsidRDefault="000006CF" w:rsidP="000006CF">
      <w:pPr>
        <w:rPr>
          <w:rFonts w:asciiTheme="majorHAnsi" w:hAnsiTheme="majorHAnsi" w:cstheme="majorHAnsi"/>
          <w:sz w:val="22"/>
          <w:szCs w:val="22"/>
        </w:rPr>
      </w:pPr>
    </w:p>
    <w:p w14:paraId="43AD36CC" w14:textId="2AD52C65" w:rsidR="000339A3" w:rsidRPr="00D92CEC" w:rsidRDefault="000339A3">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t>Overview</w:t>
      </w:r>
    </w:p>
    <w:p w14:paraId="1407BFE0" w14:textId="77777777" w:rsidR="00105B3E" w:rsidRPr="00105B3E" w:rsidRDefault="00105B3E" w:rsidP="00105B3E"/>
    <w:p w14:paraId="6D85837F" w14:textId="671C01A1"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The current Productivity Commission review of the National School Reform Agreement (NRSA), together with its National Policy Initiatives (NPIs), has the potential to be a defining event in the evolution of Australia’s school system. </w:t>
      </w:r>
    </w:p>
    <w:p w14:paraId="38776F4E" w14:textId="77777777" w:rsidR="000339A3" w:rsidRPr="000339A3" w:rsidRDefault="000339A3" w:rsidP="000339A3">
      <w:pPr>
        <w:rPr>
          <w:rFonts w:asciiTheme="majorHAnsi" w:hAnsiTheme="majorHAnsi" w:cstheme="majorHAnsi"/>
          <w:sz w:val="22"/>
          <w:szCs w:val="22"/>
        </w:rPr>
      </w:pPr>
    </w:p>
    <w:p w14:paraId="36128AF6" w14:textId="58F5D9CD"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In its review, the Commission is seeking to align the NRSA with emerging policy issues, priorities and evidence relating to schools. Significantly, it includes a focus on the key policy and external drivers of student outcomes. Its information request relating to drivers of student outcomes invites a broad and evidence-based response. </w:t>
      </w:r>
    </w:p>
    <w:p w14:paraId="6AB17ED6" w14:textId="77777777" w:rsidR="000339A3" w:rsidRPr="000339A3" w:rsidRDefault="000339A3" w:rsidP="000339A3">
      <w:pPr>
        <w:rPr>
          <w:rFonts w:asciiTheme="majorHAnsi" w:hAnsiTheme="majorHAnsi" w:cstheme="majorHAnsi"/>
          <w:sz w:val="22"/>
          <w:szCs w:val="22"/>
        </w:rPr>
      </w:pPr>
    </w:p>
    <w:p w14:paraId="0069C188" w14:textId="1FA68236"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We contend that a thorough reassessment of these drivers is essential if reforms and initiatives are to align with, and respond to, priorities and strategies to improve student outcomes. One critical driver is external to the reach of most school reforms but, unless addressed, will continue to undermine the purpose of the National Policy Initiatives. </w:t>
      </w:r>
    </w:p>
    <w:p w14:paraId="1CC5DB94" w14:textId="77777777" w:rsidR="000339A3" w:rsidRPr="000339A3" w:rsidRDefault="000339A3">
      <w:pPr>
        <w:rPr>
          <w:rFonts w:asciiTheme="majorHAnsi" w:hAnsiTheme="majorHAnsi" w:cstheme="majorHAnsi"/>
          <w:b/>
          <w:bCs/>
          <w:sz w:val="22"/>
          <w:szCs w:val="22"/>
        </w:rPr>
      </w:pPr>
    </w:p>
    <w:p w14:paraId="45BA6BE2" w14:textId="5FAEBF91" w:rsidR="00CB73F3" w:rsidRPr="000339A3" w:rsidRDefault="001B7E8F">
      <w:pPr>
        <w:rPr>
          <w:rFonts w:asciiTheme="majorHAnsi" w:hAnsiTheme="majorHAnsi" w:cstheme="majorHAnsi"/>
          <w:b/>
          <w:bCs/>
          <w:sz w:val="22"/>
          <w:szCs w:val="22"/>
        </w:rPr>
      </w:pPr>
      <w:r w:rsidRPr="00D92CEC">
        <w:rPr>
          <w:rFonts w:asciiTheme="majorHAnsi" w:hAnsiTheme="majorHAnsi" w:cstheme="majorHAnsi"/>
          <w:b/>
          <w:bCs/>
          <w:color w:val="063C2E"/>
          <w:sz w:val="22"/>
          <w:szCs w:val="22"/>
        </w:rPr>
        <w:t>Main</w:t>
      </w:r>
      <w:r w:rsidR="00CB73F3" w:rsidRPr="00D92CEC">
        <w:rPr>
          <w:rFonts w:asciiTheme="majorHAnsi" w:hAnsiTheme="majorHAnsi" w:cstheme="majorHAnsi"/>
          <w:b/>
          <w:bCs/>
          <w:color w:val="063C2E"/>
          <w:sz w:val="22"/>
          <w:szCs w:val="22"/>
        </w:rPr>
        <w:t xml:space="preserve"> points</w:t>
      </w:r>
      <w:r w:rsidR="00142F65" w:rsidRPr="000339A3">
        <w:rPr>
          <w:rFonts w:asciiTheme="majorHAnsi" w:hAnsiTheme="majorHAnsi" w:cstheme="majorHAnsi"/>
          <w:b/>
          <w:bCs/>
          <w:sz w:val="22"/>
          <w:szCs w:val="22"/>
        </w:rPr>
        <w:br/>
      </w:r>
    </w:p>
    <w:p w14:paraId="0897ED3A" w14:textId="3DDD9E33" w:rsidR="0016313E" w:rsidRPr="000339A3" w:rsidRDefault="00CB73F3" w:rsidP="00BD5E29">
      <w:pPr>
        <w:pStyle w:val="ListParagraph"/>
        <w:numPr>
          <w:ilvl w:val="0"/>
          <w:numId w:val="1"/>
        </w:numPr>
        <w:spacing w:after="160" w:line="259" w:lineRule="auto"/>
        <w:rPr>
          <w:rFonts w:asciiTheme="majorHAnsi" w:hAnsiTheme="majorHAnsi" w:cstheme="majorHAnsi"/>
          <w:sz w:val="22"/>
          <w:szCs w:val="22"/>
        </w:rPr>
      </w:pPr>
      <w:r w:rsidRPr="000339A3">
        <w:rPr>
          <w:rFonts w:asciiTheme="majorHAnsi" w:hAnsiTheme="majorHAnsi" w:cstheme="majorHAnsi"/>
          <w:sz w:val="22"/>
          <w:szCs w:val="22"/>
        </w:rPr>
        <w:t>Th</w:t>
      </w:r>
      <w:r w:rsidR="00DB1A1E" w:rsidRPr="000339A3">
        <w:rPr>
          <w:rFonts w:asciiTheme="majorHAnsi" w:hAnsiTheme="majorHAnsi" w:cstheme="majorHAnsi"/>
          <w:sz w:val="22"/>
          <w:szCs w:val="22"/>
        </w:rPr>
        <w:t>is</w:t>
      </w:r>
      <w:r w:rsidRPr="000339A3">
        <w:rPr>
          <w:rFonts w:asciiTheme="majorHAnsi" w:hAnsiTheme="majorHAnsi" w:cstheme="majorHAnsi"/>
          <w:sz w:val="22"/>
          <w:szCs w:val="22"/>
        </w:rPr>
        <w:t xml:space="preserve"> submission focuses on </w:t>
      </w:r>
      <w:r w:rsidR="0016313E" w:rsidRPr="000339A3">
        <w:rPr>
          <w:rFonts w:asciiTheme="majorHAnsi" w:hAnsiTheme="majorHAnsi" w:cstheme="majorHAnsi"/>
          <w:sz w:val="22"/>
          <w:szCs w:val="22"/>
        </w:rPr>
        <w:t>drivers of student outcomes</w:t>
      </w:r>
      <w:r w:rsidR="00BD5E29" w:rsidRPr="000339A3">
        <w:rPr>
          <w:rFonts w:asciiTheme="majorHAnsi" w:hAnsiTheme="majorHAnsi" w:cstheme="majorHAnsi"/>
          <w:sz w:val="22"/>
          <w:szCs w:val="22"/>
        </w:rPr>
        <w:t xml:space="preserve"> and responds, with evidence, to the information request questions listed on page 8 of the Productivity Commission’s call for submissions.</w:t>
      </w:r>
      <w:r w:rsidR="00161C68" w:rsidRPr="000339A3">
        <w:rPr>
          <w:rFonts w:asciiTheme="majorHAnsi" w:hAnsiTheme="majorHAnsi" w:cstheme="majorHAnsi"/>
          <w:sz w:val="22"/>
          <w:szCs w:val="22"/>
        </w:rPr>
        <w:br/>
      </w:r>
    </w:p>
    <w:p w14:paraId="5A27F4C4" w14:textId="4C1A6763" w:rsidR="00FA54CB" w:rsidRPr="000339A3" w:rsidRDefault="00C12DB9" w:rsidP="00CB73F3">
      <w:pPr>
        <w:pStyle w:val="ListParagraph"/>
        <w:numPr>
          <w:ilvl w:val="0"/>
          <w:numId w:val="1"/>
        </w:numPr>
        <w:rPr>
          <w:rFonts w:asciiTheme="majorHAnsi" w:hAnsiTheme="majorHAnsi" w:cstheme="majorHAnsi"/>
          <w:b/>
          <w:bCs/>
          <w:sz w:val="22"/>
          <w:szCs w:val="22"/>
        </w:rPr>
      </w:pPr>
      <w:r w:rsidRPr="000339A3">
        <w:rPr>
          <w:rFonts w:asciiTheme="majorHAnsi" w:hAnsiTheme="majorHAnsi" w:cstheme="majorHAnsi"/>
          <w:sz w:val="22"/>
          <w:szCs w:val="22"/>
        </w:rPr>
        <w:t>T</w:t>
      </w:r>
      <w:r w:rsidR="0009359F" w:rsidRPr="000339A3">
        <w:rPr>
          <w:rFonts w:asciiTheme="majorHAnsi" w:hAnsiTheme="majorHAnsi" w:cstheme="majorHAnsi"/>
          <w:sz w:val="22"/>
          <w:szCs w:val="22"/>
        </w:rPr>
        <w:t xml:space="preserve">he ALL team directs the Commission’s attention to </w:t>
      </w:r>
      <w:r w:rsidR="00A62294" w:rsidRPr="000339A3">
        <w:rPr>
          <w:rFonts w:asciiTheme="majorHAnsi" w:hAnsiTheme="majorHAnsi" w:cstheme="majorHAnsi"/>
          <w:sz w:val="22"/>
          <w:szCs w:val="22"/>
        </w:rPr>
        <w:t>a</w:t>
      </w:r>
      <w:r w:rsidR="0009359F" w:rsidRPr="000339A3">
        <w:rPr>
          <w:rFonts w:asciiTheme="majorHAnsi" w:hAnsiTheme="majorHAnsi" w:cstheme="majorHAnsi"/>
          <w:sz w:val="22"/>
          <w:szCs w:val="22"/>
        </w:rPr>
        <w:t xml:space="preserve"> key driver which </w:t>
      </w:r>
      <w:r w:rsidR="00A62294" w:rsidRPr="000339A3">
        <w:rPr>
          <w:rFonts w:asciiTheme="majorHAnsi" w:hAnsiTheme="majorHAnsi" w:cstheme="majorHAnsi"/>
          <w:sz w:val="22"/>
          <w:szCs w:val="22"/>
        </w:rPr>
        <w:t>is not adequately addressed by the National Policy Initiatives</w:t>
      </w:r>
      <w:r w:rsidR="001B7E8F">
        <w:rPr>
          <w:rFonts w:asciiTheme="majorHAnsi" w:hAnsiTheme="majorHAnsi" w:cstheme="majorHAnsi"/>
          <w:sz w:val="22"/>
          <w:szCs w:val="22"/>
        </w:rPr>
        <w:t xml:space="preserve"> (NPIs)</w:t>
      </w:r>
      <w:r w:rsidR="00110F7A" w:rsidRPr="000339A3">
        <w:rPr>
          <w:rFonts w:asciiTheme="majorHAnsi" w:hAnsiTheme="majorHAnsi" w:cstheme="majorHAnsi"/>
          <w:sz w:val="22"/>
          <w:szCs w:val="22"/>
        </w:rPr>
        <w:t xml:space="preserve">: the effect variously known as </w:t>
      </w:r>
      <w:r w:rsidR="00517410" w:rsidRPr="000339A3">
        <w:rPr>
          <w:rFonts w:asciiTheme="majorHAnsi" w:hAnsiTheme="majorHAnsi" w:cstheme="majorHAnsi"/>
          <w:sz w:val="22"/>
          <w:szCs w:val="22"/>
        </w:rPr>
        <w:t xml:space="preserve">the peer effect, compositional effect or neighbourhood effect. This refers to the impact of a student’s peers in their class, cohort or school on learning and achievement. </w:t>
      </w:r>
      <w:r w:rsidR="00161C68" w:rsidRPr="000339A3">
        <w:rPr>
          <w:rFonts w:asciiTheme="majorHAnsi" w:hAnsiTheme="majorHAnsi" w:cstheme="majorHAnsi"/>
          <w:sz w:val="22"/>
          <w:szCs w:val="22"/>
        </w:rPr>
        <w:br/>
      </w:r>
    </w:p>
    <w:p w14:paraId="615C7C7C" w14:textId="5124C5F4" w:rsidR="00231909" w:rsidRPr="000339A3" w:rsidRDefault="001E4197" w:rsidP="00CB73F3">
      <w:pPr>
        <w:pStyle w:val="ListParagraph"/>
        <w:numPr>
          <w:ilvl w:val="0"/>
          <w:numId w:val="1"/>
        </w:numPr>
        <w:rPr>
          <w:rFonts w:asciiTheme="majorHAnsi" w:hAnsiTheme="majorHAnsi" w:cstheme="majorHAnsi"/>
          <w:sz w:val="22"/>
          <w:szCs w:val="22"/>
        </w:rPr>
      </w:pPr>
      <w:r w:rsidRPr="000339A3">
        <w:rPr>
          <w:rFonts w:asciiTheme="majorHAnsi" w:hAnsiTheme="majorHAnsi" w:cstheme="majorHAnsi"/>
          <w:sz w:val="22"/>
          <w:szCs w:val="22"/>
        </w:rPr>
        <w:lastRenderedPageBreak/>
        <w:t xml:space="preserve">This </w:t>
      </w:r>
      <w:r w:rsidR="00C12DB9" w:rsidRPr="000339A3">
        <w:rPr>
          <w:rFonts w:asciiTheme="majorHAnsi" w:hAnsiTheme="majorHAnsi" w:cstheme="majorHAnsi"/>
          <w:sz w:val="22"/>
          <w:szCs w:val="22"/>
        </w:rPr>
        <w:t xml:space="preserve">driver is </w:t>
      </w:r>
      <w:r w:rsidR="00126E51" w:rsidRPr="000339A3">
        <w:rPr>
          <w:rFonts w:asciiTheme="majorHAnsi" w:hAnsiTheme="majorHAnsi" w:cstheme="majorHAnsi"/>
          <w:sz w:val="22"/>
          <w:szCs w:val="22"/>
        </w:rPr>
        <w:t xml:space="preserve">substantially </w:t>
      </w:r>
      <w:r w:rsidR="00C12DB9" w:rsidRPr="000339A3">
        <w:rPr>
          <w:rFonts w:asciiTheme="majorHAnsi" w:hAnsiTheme="majorHAnsi" w:cstheme="majorHAnsi"/>
          <w:sz w:val="22"/>
          <w:szCs w:val="22"/>
        </w:rPr>
        <w:t xml:space="preserve">caused by </w:t>
      </w:r>
      <w:r w:rsidR="00F86609" w:rsidRPr="000339A3">
        <w:rPr>
          <w:rFonts w:asciiTheme="majorHAnsi" w:hAnsiTheme="majorHAnsi" w:cstheme="majorHAnsi"/>
          <w:sz w:val="22"/>
          <w:szCs w:val="22"/>
        </w:rPr>
        <w:t>long</w:t>
      </w:r>
      <w:r w:rsidR="00C12DB9" w:rsidRPr="000339A3">
        <w:rPr>
          <w:rFonts w:asciiTheme="majorHAnsi" w:hAnsiTheme="majorHAnsi" w:cstheme="majorHAnsi"/>
          <w:sz w:val="22"/>
          <w:szCs w:val="22"/>
        </w:rPr>
        <w:t>-</w:t>
      </w:r>
      <w:r w:rsidR="00F86609" w:rsidRPr="000339A3">
        <w:rPr>
          <w:rFonts w:asciiTheme="majorHAnsi" w:hAnsiTheme="majorHAnsi" w:cstheme="majorHAnsi"/>
          <w:sz w:val="22"/>
          <w:szCs w:val="22"/>
        </w:rPr>
        <w:t xml:space="preserve">term policy settings which </w:t>
      </w:r>
      <w:r w:rsidR="00C12DB9" w:rsidRPr="000339A3">
        <w:rPr>
          <w:rFonts w:asciiTheme="majorHAnsi" w:hAnsiTheme="majorHAnsi" w:cstheme="majorHAnsi"/>
          <w:sz w:val="22"/>
          <w:szCs w:val="22"/>
        </w:rPr>
        <w:t>generate large concentrations of disadvantaged students in some</w:t>
      </w:r>
      <w:r w:rsidR="00A5329F" w:rsidRPr="000339A3">
        <w:rPr>
          <w:rFonts w:asciiTheme="majorHAnsi" w:hAnsiTheme="majorHAnsi" w:cstheme="majorHAnsi"/>
          <w:sz w:val="22"/>
          <w:szCs w:val="22"/>
        </w:rPr>
        <w:t xml:space="preserve"> </w:t>
      </w:r>
      <w:r w:rsidR="00C12DB9" w:rsidRPr="000339A3">
        <w:rPr>
          <w:rFonts w:asciiTheme="majorHAnsi" w:hAnsiTheme="majorHAnsi" w:cstheme="majorHAnsi"/>
          <w:sz w:val="22"/>
          <w:szCs w:val="22"/>
        </w:rPr>
        <w:t xml:space="preserve">schools, </w:t>
      </w:r>
      <w:r w:rsidR="000D3E75" w:rsidRPr="000339A3">
        <w:rPr>
          <w:rFonts w:asciiTheme="majorHAnsi" w:hAnsiTheme="majorHAnsi" w:cstheme="majorHAnsi"/>
          <w:sz w:val="22"/>
          <w:szCs w:val="22"/>
        </w:rPr>
        <w:t>creating a segregated school system</w:t>
      </w:r>
      <w:r w:rsidR="00126E51" w:rsidRPr="000339A3">
        <w:rPr>
          <w:rFonts w:asciiTheme="majorHAnsi" w:hAnsiTheme="majorHAnsi" w:cstheme="majorHAnsi"/>
          <w:sz w:val="22"/>
          <w:szCs w:val="22"/>
        </w:rPr>
        <w:t>, along with</w:t>
      </w:r>
      <w:r w:rsidR="000D3E75" w:rsidRPr="000339A3">
        <w:rPr>
          <w:rFonts w:asciiTheme="majorHAnsi" w:hAnsiTheme="majorHAnsi" w:cstheme="majorHAnsi"/>
          <w:sz w:val="22"/>
          <w:szCs w:val="22"/>
        </w:rPr>
        <w:t xml:space="preserve"> </w:t>
      </w:r>
      <w:r w:rsidR="006E0354" w:rsidRPr="000339A3">
        <w:rPr>
          <w:rFonts w:asciiTheme="majorHAnsi" w:hAnsiTheme="majorHAnsi" w:cstheme="majorHAnsi"/>
          <w:sz w:val="22"/>
          <w:szCs w:val="22"/>
        </w:rPr>
        <w:t>n</w:t>
      </w:r>
      <w:r w:rsidR="00A5329F" w:rsidRPr="000339A3">
        <w:rPr>
          <w:rFonts w:asciiTheme="majorHAnsi" w:hAnsiTheme="majorHAnsi" w:cstheme="majorHAnsi"/>
          <w:sz w:val="22"/>
          <w:szCs w:val="22"/>
        </w:rPr>
        <w:t>egative peer effects</w:t>
      </w:r>
      <w:r w:rsidR="00A95E67" w:rsidRPr="000339A3">
        <w:rPr>
          <w:rFonts w:asciiTheme="majorHAnsi" w:hAnsiTheme="majorHAnsi" w:cstheme="majorHAnsi"/>
          <w:sz w:val="22"/>
          <w:szCs w:val="22"/>
        </w:rPr>
        <w:t xml:space="preserve"> </w:t>
      </w:r>
      <w:r w:rsidR="006E0354" w:rsidRPr="000339A3">
        <w:rPr>
          <w:rFonts w:asciiTheme="majorHAnsi" w:hAnsiTheme="majorHAnsi" w:cstheme="majorHAnsi"/>
          <w:sz w:val="22"/>
          <w:szCs w:val="22"/>
        </w:rPr>
        <w:t xml:space="preserve">which </w:t>
      </w:r>
      <w:r w:rsidR="00665665" w:rsidRPr="000339A3">
        <w:rPr>
          <w:rFonts w:asciiTheme="majorHAnsi" w:hAnsiTheme="majorHAnsi" w:cstheme="majorHAnsi"/>
          <w:sz w:val="22"/>
          <w:szCs w:val="22"/>
        </w:rPr>
        <w:t xml:space="preserve">persistently </w:t>
      </w:r>
      <w:r w:rsidR="00A5329F" w:rsidRPr="000339A3">
        <w:rPr>
          <w:rFonts w:asciiTheme="majorHAnsi" w:hAnsiTheme="majorHAnsi" w:cstheme="majorHAnsi"/>
          <w:sz w:val="22"/>
          <w:szCs w:val="22"/>
        </w:rPr>
        <w:t xml:space="preserve">undermine equity and overall achievement in </w:t>
      </w:r>
      <w:r w:rsidR="00A95E67" w:rsidRPr="000339A3">
        <w:rPr>
          <w:rFonts w:asciiTheme="majorHAnsi" w:hAnsiTheme="majorHAnsi" w:cstheme="majorHAnsi"/>
          <w:sz w:val="22"/>
          <w:szCs w:val="22"/>
        </w:rPr>
        <w:t>Australia</w:t>
      </w:r>
      <w:r w:rsidR="00A5329F" w:rsidRPr="000339A3">
        <w:rPr>
          <w:rFonts w:asciiTheme="majorHAnsi" w:hAnsiTheme="majorHAnsi" w:cstheme="majorHAnsi"/>
          <w:sz w:val="22"/>
          <w:szCs w:val="22"/>
        </w:rPr>
        <w:t>’s schools</w:t>
      </w:r>
      <w:r w:rsidR="00A95E67" w:rsidRPr="000339A3">
        <w:rPr>
          <w:rFonts w:asciiTheme="majorHAnsi" w:hAnsiTheme="majorHAnsi" w:cstheme="majorHAnsi"/>
          <w:sz w:val="22"/>
          <w:szCs w:val="22"/>
        </w:rPr>
        <w:t xml:space="preserve">. </w:t>
      </w:r>
      <w:r w:rsidR="00720769" w:rsidRPr="000339A3">
        <w:rPr>
          <w:rFonts w:asciiTheme="majorHAnsi" w:hAnsiTheme="majorHAnsi" w:cstheme="majorHAnsi"/>
          <w:sz w:val="22"/>
          <w:szCs w:val="22"/>
        </w:rPr>
        <w:br/>
      </w:r>
    </w:p>
    <w:p w14:paraId="7504C276" w14:textId="1AD413CF" w:rsidR="00E2692B" w:rsidRPr="000339A3" w:rsidRDefault="00A62294" w:rsidP="00A62294">
      <w:pPr>
        <w:pStyle w:val="ListParagraph"/>
        <w:numPr>
          <w:ilvl w:val="0"/>
          <w:numId w:val="1"/>
        </w:numPr>
        <w:rPr>
          <w:rFonts w:asciiTheme="majorHAnsi" w:hAnsiTheme="majorHAnsi" w:cstheme="majorHAnsi"/>
          <w:sz w:val="22"/>
          <w:szCs w:val="22"/>
        </w:rPr>
      </w:pPr>
      <w:r w:rsidRPr="000339A3">
        <w:rPr>
          <w:rFonts w:asciiTheme="majorHAnsi" w:hAnsiTheme="majorHAnsi" w:cstheme="majorHAnsi"/>
          <w:sz w:val="22"/>
          <w:szCs w:val="22"/>
        </w:rPr>
        <w:t xml:space="preserve">The </w:t>
      </w:r>
      <w:r w:rsidR="001B7E8F">
        <w:rPr>
          <w:rFonts w:asciiTheme="majorHAnsi" w:hAnsiTheme="majorHAnsi" w:cstheme="majorHAnsi"/>
          <w:sz w:val="22"/>
          <w:szCs w:val="22"/>
        </w:rPr>
        <w:t>NPIs</w:t>
      </w:r>
      <w:r w:rsidR="00720769" w:rsidRPr="000339A3">
        <w:rPr>
          <w:rFonts w:asciiTheme="majorHAnsi" w:hAnsiTheme="majorHAnsi" w:cstheme="majorHAnsi"/>
          <w:sz w:val="22"/>
          <w:szCs w:val="22"/>
        </w:rPr>
        <w:t xml:space="preserve"> </w:t>
      </w:r>
      <w:r w:rsidRPr="000339A3">
        <w:rPr>
          <w:rFonts w:asciiTheme="majorHAnsi" w:hAnsiTheme="majorHAnsi" w:cstheme="majorHAnsi"/>
          <w:sz w:val="22"/>
          <w:szCs w:val="22"/>
        </w:rPr>
        <w:t xml:space="preserve">fail to address the role of government policies in </w:t>
      </w:r>
      <w:r w:rsidR="006E0354" w:rsidRPr="000339A3">
        <w:rPr>
          <w:rFonts w:asciiTheme="majorHAnsi" w:hAnsiTheme="majorHAnsi" w:cstheme="majorHAnsi"/>
          <w:sz w:val="22"/>
          <w:szCs w:val="22"/>
        </w:rPr>
        <w:t xml:space="preserve">worsening </w:t>
      </w:r>
      <w:r w:rsidRPr="000339A3">
        <w:rPr>
          <w:rFonts w:asciiTheme="majorHAnsi" w:hAnsiTheme="majorHAnsi" w:cstheme="majorHAnsi"/>
          <w:sz w:val="22"/>
          <w:szCs w:val="22"/>
        </w:rPr>
        <w:t xml:space="preserve">negative peer effects. </w:t>
      </w:r>
      <w:r w:rsidR="00FE103F" w:rsidRPr="000339A3">
        <w:rPr>
          <w:rFonts w:asciiTheme="majorHAnsi" w:hAnsiTheme="majorHAnsi" w:cstheme="majorHAnsi"/>
          <w:sz w:val="22"/>
          <w:szCs w:val="22"/>
        </w:rPr>
        <w:t xml:space="preserve">Until attention is given to this </w:t>
      </w:r>
      <w:r w:rsidR="001B7E8F" w:rsidRPr="000339A3">
        <w:rPr>
          <w:rFonts w:asciiTheme="majorHAnsi" w:hAnsiTheme="majorHAnsi" w:cstheme="majorHAnsi"/>
          <w:sz w:val="22"/>
          <w:szCs w:val="22"/>
        </w:rPr>
        <w:t>problem,</w:t>
      </w:r>
      <w:r w:rsidRPr="000339A3">
        <w:rPr>
          <w:rFonts w:asciiTheme="majorHAnsi" w:hAnsiTheme="majorHAnsi" w:cstheme="majorHAnsi"/>
          <w:sz w:val="22"/>
          <w:szCs w:val="22"/>
        </w:rPr>
        <w:t xml:space="preserve"> the efficacy of the National Policy Initiatives will </w:t>
      </w:r>
      <w:r w:rsidR="001B7E8F" w:rsidRPr="000339A3">
        <w:rPr>
          <w:rFonts w:asciiTheme="majorHAnsi" w:hAnsiTheme="majorHAnsi" w:cstheme="majorHAnsi"/>
          <w:sz w:val="22"/>
          <w:szCs w:val="22"/>
        </w:rPr>
        <w:t>remain substantially</w:t>
      </w:r>
      <w:r w:rsidRPr="000339A3">
        <w:rPr>
          <w:rFonts w:asciiTheme="majorHAnsi" w:hAnsiTheme="majorHAnsi" w:cstheme="majorHAnsi"/>
          <w:sz w:val="22"/>
          <w:szCs w:val="22"/>
        </w:rPr>
        <w:t xml:space="preserve"> diminished. </w:t>
      </w:r>
    </w:p>
    <w:p w14:paraId="689B55E6" w14:textId="77777777" w:rsidR="00DD0602" w:rsidRPr="000339A3" w:rsidRDefault="00DD0602" w:rsidP="00DD0602">
      <w:pPr>
        <w:pStyle w:val="ListParagraph"/>
        <w:ind w:left="928"/>
        <w:rPr>
          <w:rFonts w:asciiTheme="majorHAnsi" w:hAnsiTheme="majorHAnsi" w:cstheme="majorHAnsi"/>
          <w:sz w:val="22"/>
          <w:szCs w:val="22"/>
        </w:rPr>
      </w:pPr>
    </w:p>
    <w:p w14:paraId="64D94575" w14:textId="6668CA16" w:rsidR="0073463D" w:rsidRPr="00734CA7" w:rsidRDefault="002206DC" w:rsidP="002206DC">
      <w:pPr>
        <w:rPr>
          <w:rFonts w:asciiTheme="majorHAnsi" w:hAnsiTheme="majorHAnsi" w:cstheme="majorHAnsi"/>
          <w:color w:val="4383A9"/>
          <w:sz w:val="22"/>
          <w:szCs w:val="22"/>
        </w:rPr>
      </w:pPr>
      <w:r w:rsidRPr="00734CA7">
        <w:rPr>
          <w:rFonts w:asciiTheme="majorHAnsi" w:hAnsiTheme="majorHAnsi" w:cstheme="majorHAnsi"/>
          <w:color w:val="4383A9"/>
          <w:sz w:val="22"/>
          <w:szCs w:val="22"/>
        </w:rPr>
        <w:t>What does the evidence suggest are the key drivers of student outcomes across the three key NSRA domains — academic achievement, engagement, and skill acquisition?</w:t>
      </w:r>
    </w:p>
    <w:p w14:paraId="5D1D8B80" w14:textId="77777777" w:rsidR="007D3908" w:rsidRPr="00734CA7" w:rsidRDefault="007D3908" w:rsidP="002206DC">
      <w:pPr>
        <w:rPr>
          <w:rFonts w:asciiTheme="majorHAnsi" w:hAnsiTheme="majorHAnsi" w:cstheme="majorHAnsi"/>
          <w:color w:val="4383A9"/>
          <w:sz w:val="22"/>
          <w:szCs w:val="22"/>
        </w:rPr>
      </w:pPr>
    </w:p>
    <w:p w14:paraId="6A041004" w14:textId="1A73C8B4" w:rsidR="00CF5D5E" w:rsidRPr="000339A3" w:rsidRDefault="00CF5D5E" w:rsidP="00E2692B">
      <w:pPr>
        <w:rPr>
          <w:rFonts w:asciiTheme="majorHAnsi" w:hAnsiTheme="majorHAnsi" w:cstheme="majorHAnsi"/>
          <w:sz w:val="22"/>
          <w:szCs w:val="22"/>
        </w:rPr>
      </w:pPr>
      <w:r w:rsidRPr="000339A3">
        <w:rPr>
          <w:rFonts w:asciiTheme="majorHAnsi" w:hAnsiTheme="majorHAnsi" w:cstheme="majorHAnsi"/>
          <w:sz w:val="22"/>
          <w:szCs w:val="22"/>
        </w:rPr>
        <w:t xml:space="preserve">The NPIs </w:t>
      </w:r>
      <w:r w:rsidR="003779FF" w:rsidRPr="000339A3">
        <w:rPr>
          <w:rFonts w:asciiTheme="majorHAnsi" w:hAnsiTheme="majorHAnsi" w:cstheme="majorHAnsi"/>
          <w:sz w:val="22"/>
          <w:szCs w:val="22"/>
        </w:rPr>
        <w:t xml:space="preserve">reflect </w:t>
      </w:r>
      <w:r w:rsidRPr="000339A3">
        <w:rPr>
          <w:rFonts w:asciiTheme="majorHAnsi" w:hAnsiTheme="majorHAnsi" w:cstheme="majorHAnsi"/>
          <w:sz w:val="22"/>
          <w:szCs w:val="22"/>
        </w:rPr>
        <w:t xml:space="preserve">admirable attempts </w:t>
      </w:r>
      <w:r w:rsidR="009D3BE5" w:rsidRPr="000339A3">
        <w:rPr>
          <w:rFonts w:asciiTheme="majorHAnsi" w:hAnsiTheme="majorHAnsi" w:cstheme="majorHAnsi"/>
          <w:sz w:val="22"/>
          <w:szCs w:val="22"/>
        </w:rPr>
        <w:t xml:space="preserve">over recent decades </w:t>
      </w:r>
      <w:r w:rsidRPr="000339A3">
        <w:rPr>
          <w:rFonts w:asciiTheme="majorHAnsi" w:hAnsiTheme="majorHAnsi" w:cstheme="majorHAnsi"/>
          <w:sz w:val="22"/>
          <w:szCs w:val="22"/>
        </w:rPr>
        <w:t xml:space="preserve">to improve educational outcomes for </w:t>
      </w:r>
      <w:r w:rsidR="001B7E8F">
        <w:rPr>
          <w:rFonts w:asciiTheme="majorHAnsi" w:hAnsiTheme="majorHAnsi" w:cstheme="majorHAnsi"/>
          <w:b/>
          <w:bCs/>
          <w:sz w:val="22"/>
          <w:szCs w:val="22"/>
        </w:rPr>
        <w:t xml:space="preserve">all </w:t>
      </w:r>
      <w:r w:rsidRPr="000339A3">
        <w:rPr>
          <w:rFonts w:asciiTheme="majorHAnsi" w:hAnsiTheme="majorHAnsi" w:cstheme="majorHAnsi"/>
          <w:sz w:val="22"/>
          <w:szCs w:val="22"/>
        </w:rPr>
        <w:t>Australian school students. However, they do not address a major driver of ongoing decline</w:t>
      </w:r>
      <w:r w:rsidR="001B7E8F">
        <w:rPr>
          <w:rFonts w:asciiTheme="majorHAnsi" w:hAnsiTheme="majorHAnsi" w:cstheme="majorHAnsi"/>
          <w:sz w:val="22"/>
          <w:szCs w:val="22"/>
        </w:rPr>
        <w:t xml:space="preserve"> nor</w:t>
      </w:r>
      <w:r w:rsidRPr="000339A3">
        <w:rPr>
          <w:rFonts w:asciiTheme="majorHAnsi" w:hAnsiTheme="majorHAnsi" w:cstheme="majorHAnsi"/>
          <w:sz w:val="22"/>
          <w:szCs w:val="22"/>
        </w:rPr>
        <w:t xml:space="preserve"> the su</w:t>
      </w:r>
      <w:r w:rsidR="009D3BE5" w:rsidRPr="000339A3">
        <w:rPr>
          <w:rFonts w:asciiTheme="majorHAnsi" w:hAnsiTheme="majorHAnsi" w:cstheme="majorHAnsi"/>
          <w:sz w:val="22"/>
          <w:szCs w:val="22"/>
        </w:rPr>
        <w:t>b</w:t>
      </w:r>
      <w:r w:rsidRPr="000339A3">
        <w:rPr>
          <w:rFonts w:asciiTheme="majorHAnsi" w:hAnsiTheme="majorHAnsi" w:cstheme="majorHAnsi"/>
          <w:sz w:val="22"/>
          <w:szCs w:val="22"/>
        </w:rPr>
        <w:t xml:space="preserve">stantial gaps in the achievement of advantaged and disadvantaged students. </w:t>
      </w:r>
    </w:p>
    <w:p w14:paraId="1ECA9ADB" w14:textId="77777777" w:rsidR="00CF5D5E" w:rsidRPr="000339A3" w:rsidRDefault="00CF5D5E" w:rsidP="00E2692B">
      <w:pPr>
        <w:rPr>
          <w:rFonts w:asciiTheme="majorHAnsi" w:hAnsiTheme="majorHAnsi" w:cstheme="majorHAnsi"/>
          <w:sz w:val="22"/>
          <w:szCs w:val="22"/>
        </w:rPr>
      </w:pPr>
    </w:p>
    <w:p w14:paraId="3078EFE3" w14:textId="67686F87" w:rsidR="00E2692B" w:rsidRPr="000339A3" w:rsidRDefault="00A7514C" w:rsidP="00E2692B">
      <w:pPr>
        <w:rPr>
          <w:rFonts w:asciiTheme="majorHAnsi" w:hAnsiTheme="majorHAnsi" w:cstheme="majorHAnsi"/>
          <w:sz w:val="22"/>
          <w:szCs w:val="22"/>
        </w:rPr>
      </w:pPr>
      <w:r w:rsidRPr="000339A3">
        <w:rPr>
          <w:rFonts w:asciiTheme="majorHAnsi" w:hAnsiTheme="majorHAnsi" w:cstheme="majorHAnsi"/>
          <w:sz w:val="22"/>
          <w:szCs w:val="22"/>
        </w:rPr>
        <w:t xml:space="preserve">Compositional or peer effects refer to the collective impact of all the other students at a school on a student’s educational outcomes, over and above the impact of their own family circumstances. </w:t>
      </w:r>
      <w:r w:rsidR="00E2692B" w:rsidRPr="000339A3">
        <w:rPr>
          <w:rFonts w:asciiTheme="majorHAnsi" w:hAnsiTheme="majorHAnsi" w:cstheme="majorHAnsi"/>
          <w:sz w:val="22"/>
          <w:szCs w:val="22"/>
        </w:rPr>
        <w:t xml:space="preserve">Within schools, peer effects impact in different ways on such things </w:t>
      </w:r>
      <w:r w:rsidR="001B7E8F">
        <w:rPr>
          <w:rFonts w:asciiTheme="majorHAnsi" w:hAnsiTheme="majorHAnsi" w:cstheme="majorHAnsi"/>
          <w:sz w:val="22"/>
          <w:szCs w:val="22"/>
        </w:rPr>
        <w:t xml:space="preserve">such </w:t>
      </w:r>
      <w:r w:rsidR="00E2692B" w:rsidRPr="000339A3">
        <w:rPr>
          <w:rFonts w:asciiTheme="majorHAnsi" w:hAnsiTheme="majorHAnsi" w:cstheme="majorHAnsi"/>
          <w:sz w:val="22"/>
          <w:szCs w:val="22"/>
        </w:rPr>
        <w:t>as the level of social and cultural capital, time on task and focus on learning, attention to individual students, teacher expectations, depth of curriculum, student identity and aspirations, learning opportunities and resources. The net effect is that negative peer effects are associated with students from disadvantaged social backgrounds</w:t>
      </w:r>
      <w:r w:rsidR="00B534E0">
        <w:rPr>
          <w:rFonts w:asciiTheme="majorHAnsi" w:hAnsiTheme="majorHAnsi" w:cstheme="majorHAnsi"/>
          <w:sz w:val="22"/>
          <w:szCs w:val="22"/>
        </w:rPr>
        <w:t xml:space="preserve"> and </w:t>
      </w:r>
      <w:r w:rsidR="00E2692B" w:rsidRPr="000339A3">
        <w:rPr>
          <w:rFonts w:asciiTheme="majorHAnsi" w:hAnsiTheme="majorHAnsi" w:cstheme="majorHAnsi"/>
          <w:sz w:val="22"/>
          <w:szCs w:val="22"/>
        </w:rPr>
        <w:t>positive effects with students from advantaged backgrounds.</w:t>
      </w:r>
    </w:p>
    <w:p w14:paraId="71A4A017" w14:textId="77777777" w:rsidR="00685BB1" w:rsidRDefault="00E2692B" w:rsidP="00A7514C">
      <w:pPr>
        <w:rPr>
          <w:rFonts w:asciiTheme="majorHAnsi" w:hAnsiTheme="majorHAnsi" w:cstheme="majorHAnsi"/>
          <w:sz w:val="22"/>
          <w:szCs w:val="22"/>
        </w:rPr>
      </w:pPr>
      <w:r w:rsidRPr="000339A3">
        <w:rPr>
          <w:rFonts w:asciiTheme="majorHAnsi" w:hAnsiTheme="majorHAnsi" w:cstheme="majorHAnsi"/>
          <w:sz w:val="22"/>
          <w:szCs w:val="22"/>
        </w:rPr>
        <w:br/>
      </w:r>
      <w:r w:rsidR="000843CF" w:rsidRPr="000339A3">
        <w:rPr>
          <w:rFonts w:asciiTheme="majorHAnsi" w:hAnsiTheme="majorHAnsi" w:cstheme="majorHAnsi"/>
          <w:sz w:val="22"/>
          <w:szCs w:val="22"/>
        </w:rPr>
        <w:t>T</w:t>
      </w:r>
      <w:r w:rsidR="00FA6A5C" w:rsidRPr="000339A3">
        <w:rPr>
          <w:rFonts w:asciiTheme="majorHAnsi" w:hAnsiTheme="majorHAnsi" w:cstheme="majorHAnsi"/>
          <w:sz w:val="22"/>
          <w:szCs w:val="22"/>
        </w:rPr>
        <w:t xml:space="preserve">he </w:t>
      </w:r>
      <w:r w:rsidR="00A7514C" w:rsidRPr="000339A3">
        <w:rPr>
          <w:rFonts w:asciiTheme="majorHAnsi" w:hAnsiTheme="majorHAnsi" w:cstheme="majorHAnsi"/>
          <w:sz w:val="22"/>
          <w:szCs w:val="22"/>
        </w:rPr>
        <w:t>R</w:t>
      </w:r>
      <w:r w:rsidR="00FA6A5C" w:rsidRPr="000339A3">
        <w:rPr>
          <w:rFonts w:asciiTheme="majorHAnsi" w:hAnsiTheme="majorHAnsi" w:cstheme="majorHAnsi"/>
          <w:sz w:val="22"/>
          <w:szCs w:val="22"/>
        </w:rPr>
        <w:t>eview</w:t>
      </w:r>
      <w:r w:rsidR="00A7514C" w:rsidRPr="000339A3">
        <w:rPr>
          <w:rFonts w:asciiTheme="majorHAnsi" w:hAnsiTheme="majorHAnsi" w:cstheme="majorHAnsi"/>
          <w:sz w:val="22"/>
          <w:szCs w:val="22"/>
        </w:rPr>
        <w:t xml:space="preserve"> of Funding for Schooling (2011) found that </w:t>
      </w:r>
      <w:r w:rsidR="00FA6A5C" w:rsidRPr="000339A3">
        <w:rPr>
          <w:rFonts w:asciiTheme="majorHAnsi" w:hAnsiTheme="majorHAnsi" w:cstheme="majorHAnsi"/>
          <w:sz w:val="22"/>
          <w:szCs w:val="22"/>
        </w:rPr>
        <w:t xml:space="preserve">the socio-economic status of a </w:t>
      </w:r>
      <w:r w:rsidR="00FA6A5C" w:rsidRPr="00105B3E">
        <w:rPr>
          <w:rFonts w:asciiTheme="majorHAnsi" w:hAnsiTheme="majorHAnsi" w:cstheme="majorHAnsi"/>
          <w:sz w:val="22"/>
          <w:szCs w:val="22"/>
        </w:rPr>
        <w:t>school</w:t>
      </w:r>
      <w:r w:rsidR="00A7514C" w:rsidRPr="00105B3E">
        <w:rPr>
          <w:rFonts w:asciiTheme="majorHAnsi" w:hAnsiTheme="majorHAnsi" w:cstheme="majorHAnsi"/>
          <w:sz w:val="22"/>
          <w:szCs w:val="22"/>
        </w:rPr>
        <w:t xml:space="preserve">’s </w:t>
      </w:r>
      <w:r w:rsidR="00A7514C" w:rsidRPr="000339A3">
        <w:rPr>
          <w:rFonts w:asciiTheme="majorHAnsi" w:hAnsiTheme="majorHAnsi" w:cstheme="majorHAnsi"/>
          <w:sz w:val="22"/>
          <w:szCs w:val="22"/>
        </w:rPr>
        <w:t>student profile</w:t>
      </w:r>
      <w:r w:rsidR="00FA6A5C" w:rsidRPr="000339A3">
        <w:rPr>
          <w:rFonts w:asciiTheme="majorHAnsi" w:hAnsiTheme="majorHAnsi" w:cstheme="majorHAnsi"/>
          <w:sz w:val="22"/>
          <w:szCs w:val="22"/>
        </w:rPr>
        <w:t xml:space="preserve"> affects the performance of individuals within that school, irrespective of their own socio-economic status.</w:t>
      </w:r>
      <w:r w:rsidR="00A7514C" w:rsidRPr="000339A3">
        <w:rPr>
          <w:rFonts w:asciiTheme="majorHAnsi" w:hAnsiTheme="majorHAnsi" w:cstheme="majorHAnsi"/>
          <w:sz w:val="22"/>
          <w:szCs w:val="22"/>
        </w:rPr>
        <w:t xml:space="preserve"> </w:t>
      </w:r>
    </w:p>
    <w:p w14:paraId="058BC826" w14:textId="77777777" w:rsidR="00685BB1" w:rsidRDefault="00685BB1" w:rsidP="00A7514C">
      <w:pPr>
        <w:rPr>
          <w:rFonts w:asciiTheme="majorHAnsi" w:hAnsiTheme="majorHAnsi" w:cstheme="majorHAnsi"/>
          <w:sz w:val="22"/>
          <w:szCs w:val="22"/>
        </w:rPr>
      </w:pPr>
    </w:p>
    <w:p w14:paraId="657F8F67" w14:textId="539E9375" w:rsidR="00DD0602" w:rsidRPr="000339A3" w:rsidRDefault="00A7514C" w:rsidP="00A7514C">
      <w:pPr>
        <w:rPr>
          <w:rFonts w:asciiTheme="majorHAnsi" w:hAnsiTheme="majorHAnsi" w:cstheme="majorHAnsi"/>
          <w:sz w:val="22"/>
          <w:szCs w:val="22"/>
        </w:rPr>
      </w:pPr>
      <w:r w:rsidRPr="000339A3">
        <w:rPr>
          <w:rFonts w:asciiTheme="majorHAnsi" w:hAnsiTheme="majorHAnsi" w:cstheme="majorHAnsi"/>
          <w:sz w:val="22"/>
          <w:szCs w:val="22"/>
        </w:rPr>
        <w:t xml:space="preserve">The review </w:t>
      </w:r>
      <w:r w:rsidR="00020198" w:rsidRPr="000339A3">
        <w:rPr>
          <w:rFonts w:asciiTheme="majorHAnsi" w:hAnsiTheme="majorHAnsi" w:cstheme="majorHAnsi"/>
          <w:sz w:val="22"/>
          <w:szCs w:val="22"/>
        </w:rPr>
        <w:t>concluded</w:t>
      </w:r>
      <w:r w:rsidRPr="000339A3">
        <w:rPr>
          <w:rFonts w:asciiTheme="majorHAnsi" w:hAnsiTheme="majorHAnsi" w:cstheme="majorHAnsi"/>
          <w:sz w:val="22"/>
          <w:szCs w:val="22"/>
        </w:rPr>
        <w:t xml:space="preserve"> that: </w:t>
      </w:r>
      <w:r w:rsidRPr="000339A3">
        <w:rPr>
          <w:rFonts w:asciiTheme="majorHAnsi" w:hAnsiTheme="majorHAnsi" w:cstheme="majorHAnsi"/>
          <w:color w:val="000000"/>
          <w:sz w:val="22"/>
          <w:szCs w:val="22"/>
        </w:rPr>
        <w:t>“Many international studies, as well as research using PISA and NAPLAN data, confirm that concentrations of students from certain socioeconomic groups within a school has a strong impact on the educational outcomes achieved by all students at the school. Importantly, research also suggests that this impact is more significant than the effect of an individual student’s own socioeconomic status on outcomes.” </w:t>
      </w:r>
      <w:r w:rsidR="00441AC6" w:rsidRPr="000339A3">
        <w:rPr>
          <w:rStyle w:val="EndnoteReference"/>
          <w:rFonts w:asciiTheme="majorHAnsi" w:hAnsiTheme="majorHAnsi" w:cstheme="majorHAnsi"/>
          <w:sz w:val="22"/>
          <w:szCs w:val="22"/>
        </w:rPr>
        <w:endnoteReference w:id="3"/>
      </w:r>
      <w:r w:rsidR="00D21350" w:rsidRPr="000339A3">
        <w:rPr>
          <w:rFonts w:asciiTheme="majorHAnsi" w:hAnsiTheme="majorHAnsi" w:cstheme="majorHAnsi"/>
          <w:sz w:val="22"/>
          <w:szCs w:val="22"/>
        </w:rPr>
        <w:t xml:space="preserve"> </w:t>
      </w:r>
      <w:r w:rsidR="000A1402" w:rsidRPr="000339A3">
        <w:rPr>
          <w:rFonts w:asciiTheme="majorHAnsi" w:hAnsiTheme="majorHAnsi" w:cstheme="majorHAnsi"/>
          <w:sz w:val="22"/>
          <w:szCs w:val="22"/>
        </w:rPr>
        <w:br/>
      </w:r>
    </w:p>
    <w:p w14:paraId="048F0ADC" w14:textId="77777777" w:rsidR="00685BB1" w:rsidRDefault="00A7514C"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Critical evidence in support of this finding was presented by the</w:t>
      </w:r>
      <w:r w:rsidR="00474C08" w:rsidRPr="000339A3">
        <w:rPr>
          <w:rFonts w:asciiTheme="majorHAnsi" w:hAnsiTheme="majorHAnsi" w:cstheme="majorHAnsi"/>
          <w:sz w:val="22"/>
          <w:szCs w:val="22"/>
        </w:rPr>
        <w:t xml:space="preserve"> New South Wales Department of Education </w:t>
      </w:r>
      <w:r w:rsidRPr="000339A3">
        <w:rPr>
          <w:rFonts w:asciiTheme="majorHAnsi" w:hAnsiTheme="majorHAnsi" w:cstheme="majorHAnsi"/>
          <w:sz w:val="22"/>
          <w:szCs w:val="22"/>
        </w:rPr>
        <w:t>which</w:t>
      </w:r>
      <w:r w:rsidR="00474C08" w:rsidRPr="000339A3">
        <w:rPr>
          <w:rFonts w:asciiTheme="majorHAnsi" w:hAnsiTheme="majorHAnsi" w:cstheme="majorHAnsi"/>
          <w:sz w:val="22"/>
          <w:szCs w:val="22"/>
        </w:rPr>
        <w:t xml:space="preserve"> showed that the effect of school SES on student performance is profound and exists across the SES range.</w:t>
      </w:r>
      <w:r w:rsidR="00474C08" w:rsidRPr="000339A3">
        <w:rPr>
          <w:rStyle w:val="EndnoteReference"/>
          <w:rFonts w:asciiTheme="majorHAnsi" w:hAnsiTheme="majorHAnsi" w:cstheme="majorHAnsi"/>
          <w:sz w:val="22"/>
          <w:szCs w:val="22"/>
        </w:rPr>
        <w:endnoteReference w:id="4"/>
      </w:r>
      <w:r w:rsidR="00474C08" w:rsidRPr="000339A3">
        <w:rPr>
          <w:rFonts w:asciiTheme="majorHAnsi" w:hAnsiTheme="majorHAnsi" w:cstheme="majorHAnsi"/>
          <w:sz w:val="22"/>
          <w:szCs w:val="22"/>
        </w:rPr>
        <w:t xml:space="preserve"> </w:t>
      </w:r>
      <w:r w:rsidR="006E3374" w:rsidRPr="000339A3">
        <w:rPr>
          <w:rFonts w:asciiTheme="majorHAnsi" w:hAnsiTheme="majorHAnsi" w:cstheme="majorHAnsi"/>
          <w:sz w:val="22"/>
          <w:szCs w:val="22"/>
        </w:rPr>
        <w:t xml:space="preserve">The effect also grows stronger from Year 3 to Year 9. </w:t>
      </w:r>
    </w:p>
    <w:p w14:paraId="65F71D09" w14:textId="77777777" w:rsidR="00685BB1" w:rsidRDefault="00685BB1" w:rsidP="00A7514C">
      <w:pPr>
        <w:pStyle w:val="ListParagraph"/>
        <w:ind w:left="0"/>
        <w:rPr>
          <w:rFonts w:asciiTheme="majorHAnsi" w:hAnsiTheme="majorHAnsi" w:cstheme="majorHAnsi"/>
          <w:sz w:val="22"/>
          <w:szCs w:val="22"/>
        </w:rPr>
      </w:pPr>
    </w:p>
    <w:p w14:paraId="31679FBC" w14:textId="77777777" w:rsidR="00685BB1" w:rsidRDefault="006E3374"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 xml:space="preserve">The paper pointed to the considerable independent effect of concentrations of disadvantage at the school-level, an effect over and above the SES of an individual student. The achievement of students rose, sometimes dramatically, if they enrolled in schools where students, on average, had a higher socio-educational status. </w:t>
      </w:r>
    </w:p>
    <w:p w14:paraId="7BC45393" w14:textId="77777777" w:rsidR="00685BB1" w:rsidRDefault="00685BB1" w:rsidP="00A7514C">
      <w:pPr>
        <w:pStyle w:val="ListParagraph"/>
        <w:ind w:left="0"/>
        <w:rPr>
          <w:rFonts w:asciiTheme="majorHAnsi" w:hAnsiTheme="majorHAnsi" w:cstheme="majorHAnsi"/>
          <w:sz w:val="22"/>
          <w:szCs w:val="22"/>
        </w:rPr>
      </w:pPr>
    </w:p>
    <w:p w14:paraId="46776120" w14:textId="6F67CA2F" w:rsidR="00474C08" w:rsidRPr="000339A3" w:rsidRDefault="00474C08"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The discussion paper demonstrated this to great effect in this graph</w:t>
      </w:r>
      <w:r w:rsidR="006E3374" w:rsidRPr="000339A3">
        <w:rPr>
          <w:rFonts w:asciiTheme="majorHAnsi" w:hAnsiTheme="majorHAnsi" w:cstheme="majorHAnsi"/>
          <w:sz w:val="22"/>
          <w:szCs w:val="22"/>
        </w:rPr>
        <w:t xml:space="preserve">: the dashed horizontal lines represent average scores for students from different </w:t>
      </w:r>
      <w:r w:rsidR="006E3374" w:rsidRPr="000339A3">
        <w:rPr>
          <w:rFonts w:asciiTheme="majorHAnsi" w:hAnsiTheme="majorHAnsi" w:cstheme="majorHAnsi"/>
          <w:i/>
          <w:iCs/>
          <w:sz w:val="22"/>
          <w:szCs w:val="22"/>
        </w:rPr>
        <w:t>family</w:t>
      </w:r>
      <w:r w:rsidR="006E3374" w:rsidRPr="000339A3">
        <w:rPr>
          <w:rFonts w:asciiTheme="majorHAnsi" w:hAnsiTheme="majorHAnsi" w:cstheme="majorHAnsi"/>
          <w:sz w:val="22"/>
          <w:szCs w:val="22"/>
        </w:rPr>
        <w:t xml:space="preserve"> backgrounds; the full lines represent student performance as </w:t>
      </w:r>
      <w:r w:rsidR="006E3374" w:rsidRPr="000339A3">
        <w:rPr>
          <w:rFonts w:asciiTheme="majorHAnsi" w:hAnsiTheme="majorHAnsi" w:cstheme="majorHAnsi"/>
          <w:i/>
          <w:iCs/>
          <w:sz w:val="22"/>
          <w:szCs w:val="22"/>
        </w:rPr>
        <w:t>school</w:t>
      </w:r>
      <w:r w:rsidR="006E3374" w:rsidRPr="000339A3">
        <w:rPr>
          <w:rFonts w:asciiTheme="majorHAnsi" w:hAnsiTheme="majorHAnsi" w:cstheme="majorHAnsi"/>
          <w:sz w:val="22"/>
          <w:szCs w:val="22"/>
        </w:rPr>
        <w:t xml:space="preserve"> SES changes. </w:t>
      </w:r>
      <w:r w:rsidR="00F32023" w:rsidRPr="000339A3">
        <w:rPr>
          <w:rFonts w:asciiTheme="majorHAnsi" w:hAnsiTheme="majorHAnsi" w:cstheme="majorHAnsi"/>
          <w:sz w:val="22"/>
          <w:szCs w:val="22"/>
        </w:rPr>
        <w:br/>
      </w:r>
    </w:p>
    <w:p w14:paraId="7B05B940" w14:textId="798CFF40" w:rsidR="006E3374" w:rsidRDefault="00474C08" w:rsidP="006E3374">
      <w:pPr>
        <w:rPr>
          <w:rFonts w:asciiTheme="minorHAnsi" w:hAnsiTheme="minorHAnsi" w:cstheme="minorHAnsi"/>
        </w:rPr>
      </w:pPr>
      <w:r w:rsidRPr="00BA0A75">
        <w:rPr>
          <w:rFonts w:asciiTheme="minorHAnsi" w:hAnsiTheme="minorHAnsi" w:cstheme="minorHAnsi"/>
          <w:noProof/>
        </w:rPr>
        <w:lastRenderedPageBreak/>
        <w:drawing>
          <wp:inline distT="0" distB="0" distL="0" distR="0" wp14:anchorId="25628426" wp14:editId="30331D7E">
            <wp:extent cx="4972050" cy="3105150"/>
            <wp:effectExtent l="0" t="0" r="6350" b="6350"/>
            <wp:docPr id="101" name="Google Shape;101;p2"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101" name="Google Shape;101;p2" descr="Chart, line chart&#10;&#10;Description automatically generated"/>
                    <pic:cNvPicPr preferRelativeResize="0"/>
                  </pic:nvPicPr>
                  <pic:blipFill rotWithShape="1">
                    <a:blip r:embed="rId9">
                      <a:alphaModFix/>
                    </a:blip>
                    <a:srcRect/>
                    <a:stretch/>
                  </pic:blipFill>
                  <pic:spPr>
                    <a:xfrm>
                      <a:off x="0" y="0"/>
                      <a:ext cx="4972050" cy="3105150"/>
                    </a:xfrm>
                    <a:prstGeom prst="rect">
                      <a:avLst/>
                    </a:prstGeom>
                    <a:noFill/>
                    <a:ln>
                      <a:noFill/>
                    </a:ln>
                  </pic:spPr>
                </pic:pic>
              </a:graphicData>
            </a:graphic>
          </wp:inline>
        </w:drawing>
      </w:r>
    </w:p>
    <w:p w14:paraId="250F8D0B" w14:textId="77777777" w:rsidR="006E3374" w:rsidRDefault="006E3374" w:rsidP="006E3374">
      <w:pPr>
        <w:rPr>
          <w:rFonts w:asciiTheme="minorHAnsi" w:hAnsiTheme="minorHAnsi" w:cstheme="minorHAnsi"/>
        </w:rPr>
      </w:pPr>
    </w:p>
    <w:p w14:paraId="524A35EE" w14:textId="2054779B" w:rsidR="00020198" w:rsidRPr="00685BB1" w:rsidRDefault="00020198" w:rsidP="00F32023">
      <w:pPr>
        <w:rPr>
          <w:rFonts w:asciiTheme="majorHAnsi" w:hAnsiTheme="majorHAnsi" w:cstheme="majorHAnsi"/>
          <w:sz w:val="22"/>
          <w:szCs w:val="22"/>
        </w:rPr>
      </w:pPr>
      <w:r w:rsidRPr="00685BB1">
        <w:rPr>
          <w:rFonts w:asciiTheme="majorHAnsi" w:hAnsiTheme="majorHAnsi" w:cstheme="majorHAnsi"/>
          <w:sz w:val="22"/>
          <w:szCs w:val="22"/>
        </w:rPr>
        <w:t xml:space="preserve">Professor Richard Teese replicated the </w:t>
      </w:r>
      <w:r w:rsidR="00474C08" w:rsidRPr="00685BB1">
        <w:rPr>
          <w:rFonts w:asciiTheme="majorHAnsi" w:hAnsiTheme="majorHAnsi" w:cstheme="majorHAnsi"/>
          <w:sz w:val="22"/>
          <w:szCs w:val="22"/>
        </w:rPr>
        <w:t>N</w:t>
      </w:r>
      <w:r w:rsidRPr="00685BB1">
        <w:rPr>
          <w:rFonts w:asciiTheme="majorHAnsi" w:hAnsiTheme="majorHAnsi" w:cstheme="majorHAnsi"/>
          <w:sz w:val="22"/>
          <w:szCs w:val="22"/>
        </w:rPr>
        <w:t>ew South Wales</w:t>
      </w:r>
      <w:r w:rsidR="00474C08" w:rsidRPr="00685BB1">
        <w:rPr>
          <w:rFonts w:asciiTheme="majorHAnsi" w:hAnsiTheme="majorHAnsi" w:cstheme="majorHAnsi"/>
          <w:sz w:val="22"/>
          <w:szCs w:val="22"/>
        </w:rPr>
        <w:t xml:space="preserve"> findings</w:t>
      </w:r>
      <w:r w:rsidRPr="00685BB1">
        <w:rPr>
          <w:rFonts w:asciiTheme="majorHAnsi" w:hAnsiTheme="majorHAnsi" w:cstheme="majorHAnsi"/>
          <w:sz w:val="22"/>
          <w:szCs w:val="22"/>
        </w:rPr>
        <w:t xml:space="preserve"> in other school jurisdictions and sectors</w:t>
      </w:r>
      <w:r w:rsidR="00474C08" w:rsidRPr="00685BB1">
        <w:rPr>
          <w:rFonts w:asciiTheme="majorHAnsi" w:hAnsiTheme="majorHAnsi" w:cstheme="majorHAnsi"/>
          <w:sz w:val="22"/>
          <w:szCs w:val="22"/>
        </w:rPr>
        <w:t>.</w:t>
      </w:r>
      <w:r w:rsidR="00474C08" w:rsidRPr="00685BB1">
        <w:rPr>
          <w:rStyle w:val="EndnoteReference"/>
          <w:rFonts w:asciiTheme="majorHAnsi" w:hAnsiTheme="majorHAnsi" w:cstheme="majorHAnsi"/>
          <w:sz w:val="22"/>
          <w:szCs w:val="22"/>
        </w:rPr>
        <w:endnoteReference w:id="5"/>
      </w:r>
      <w:r w:rsidR="00474C08" w:rsidRPr="00685BB1">
        <w:rPr>
          <w:rFonts w:asciiTheme="majorHAnsi" w:hAnsiTheme="majorHAnsi" w:cstheme="majorHAnsi"/>
          <w:sz w:val="22"/>
          <w:szCs w:val="22"/>
        </w:rPr>
        <w:t xml:space="preserve">  </w:t>
      </w:r>
      <w:r w:rsidR="00F32023" w:rsidRPr="00685BB1">
        <w:rPr>
          <w:rFonts w:asciiTheme="majorHAnsi" w:hAnsiTheme="majorHAnsi" w:cstheme="majorHAnsi"/>
          <w:sz w:val="22"/>
          <w:szCs w:val="22"/>
        </w:rPr>
        <w:t>R</w:t>
      </w:r>
      <w:r w:rsidRPr="00685BB1">
        <w:rPr>
          <w:rFonts w:asciiTheme="majorHAnsi" w:hAnsiTheme="majorHAnsi" w:cstheme="majorHAnsi"/>
          <w:sz w:val="22"/>
          <w:szCs w:val="22"/>
        </w:rPr>
        <w:t xml:space="preserve">esearch </w:t>
      </w:r>
      <w:r w:rsidR="00F32023" w:rsidRPr="00685BB1">
        <w:rPr>
          <w:rFonts w:asciiTheme="majorHAnsi" w:hAnsiTheme="majorHAnsi" w:cstheme="majorHAnsi"/>
          <w:sz w:val="22"/>
          <w:szCs w:val="22"/>
        </w:rPr>
        <w:t xml:space="preserve">commissioned </w:t>
      </w:r>
      <w:r w:rsidRPr="00685BB1">
        <w:rPr>
          <w:rFonts w:asciiTheme="majorHAnsi" w:hAnsiTheme="majorHAnsi" w:cstheme="majorHAnsi"/>
          <w:sz w:val="22"/>
          <w:szCs w:val="22"/>
        </w:rPr>
        <w:t xml:space="preserve">for the </w:t>
      </w:r>
      <w:r w:rsidR="00F32023" w:rsidRPr="00685BB1">
        <w:rPr>
          <w:rFonts w:asciiTheme="majorHAnsi" w:hAnsiTheme="majorHAnsi" w:cstheme="majorHAnsi"/>
          <w:sz w:val="22"/>
          <w:szCs w:val="22"/>
        </w:rPr>
        <w:t xml:space="preserve">2011 </w:t>
      </w:r>
      <w:r w:rsidRPr="00685BB1">
        <w:rPr>
          <w:rFonts w:asciiTheme="majorHAnsi" w:hAnsiTheme="majorHAnsi" w:cstheme="majorHAnsi"/>
          <w:sz w:val="22"/>
          <w:szCs w:val="22"/>
        </w:rPr>
        <w:t>Gonski review stated that peers have a significant influence on the behavioural and cognitive development of young people, and that placing a lower performing student into a higher performing school creates a significant positive effect on that student’s performance.</w:t>
      </w:r>
      <w:r w:rsidRPr="00685BB1">
        <w:rPr>
          <w:rStyle w:val="EndnoteReference"/>
          <w:rFonts w:asciiTheme="majorHAnsi" w:hAnsiTheme="majorHAnsi" w:cstheme="majorHAnsi"/>
          <w:sz w:val="22"/>
          <w:szCs w:val="22"/>
        </w:rPr>
        <w:endnoteReference w:id="6"/>
      </w:r>
      <w:r w:rsidRPr="00685BB1">
        <w:rPr>
          <w:rFonts w:asciiTheme="majorHAnsi" w:hAnsiTheme="majorHAnsi" w:cstheme="majorHAnsi"/>
          <w:sz w:val="22"/>
          <w:szCs w:val="22"/>
        </w:rPr>
        <w:t xml:space="preserve"> </w:t>
      </w:r>
    </w:p>
    <w:p w14:paraId="7DFD1880" w14:textId="79C1B569" w:rsidR="00DD0602" w:rsidRPr="00685BB1" w:rsidRDefault="00D866F3" w:rsidP="00FF6C41">
      <w:pPr>
        <w:rPr>
          <w:rFonts w:asciiTheme="majorHAnsi" w:hAnsiTheme="majorHAnsi" w:cstheme="majorHAnsi"/>
          <w:sz w:val="22"/>
          <w:szCs w:val="22"/>
        </w:rPr>
      </w:pPr>
      <w:r w:rsidRPr="00685BB1">
        <w:rPr>
          <w:rFonts w:asciiTheme="majorHAnsi" w:hAnsiTheme="majorHAnsi" w:cstheme="majorHAnsi"/>
          <w:sz w:val="22"/>
          <w:szCs w:val="22"/>
        </w:rPr>
        <w:br/>
      </w:r>
      <w:r w:rsidR="00365658" w:rsidRPr="00685BB1">
        <w:rPr>
          <w:rFonts w:asciiTheme="majorHAnsi" w:hAnsiTheme="majorHAnsi" w:cstheme="majorHAnsi"/>
          <w:sz w:val="22"/>
          <w:szCs w:val="22"/>
        </w:rPr>
        <w:t>A</w:t>
      </w:r>
      <w:r w:rsidR="00FF6C41" w:rsidRPr="00685BB1">
        <w:rPr>
          <w:rFonts w:asciiTheme="majorHAnsi" w:hAnsiTheme="majorHAnsi" w:cstheme="majorHAnsi"/>
          <w:sz w:val="22"/>
          <w:szCs w:val="22"/>
        </w:rPr>
        <w:t xml:space="preserve">t the same time, an international </w:t>
      </w:r>
      <w:r w:rsidR="00365658" w:rsidRPr="00685BB1">
        <w:rPr>
          <w:rFonts w:asciiTheme="majorHAnsi" w:hAnsiTheme="majorHAnsi" w:cstheme="majorHAnsi"/>
          <w:sz w:val="22"/>
          <w:szCs w:val="22"/>
        </w:rPr>
        <w:t xml:space="preserve">meta-analysis </w:t>
      </w:r>
      <w:r w:rsidR="00FF6C41" w:rsidRPr="00685BB1">
        <w:rPr>
          <w:rFonts w:asciiTheme="majorHAnsi" w:hAnsiTheme="majorHAnsi" w:cstheme="majorHAnsi"/>
          <w:sz w:val="22"/>
          <w:szCs w:val="22"/>
        </w:rPr>
        <w:t>of studies on peer effects conducted in 2010 found a substantial effect on test scores every time the average socioeconomic status of a student’s peer group increased by one standard deviation.</w:t>
      </w:r>
      <w:r w:rsidR="00365658" w:rsidRPr="00685BB1">
        <w:rPr>
          <w:rStyle w:val="EndnoteReference"/>
          <w:rFonts w:asciiTheme="majorHAnsi" w:hAnsiTheme="majorHAnsi" w:cstheme="majorHAnsi"/>
          <w:sz w:val="22"/>
          <w:szCs w:val="22"/>
        </w:rPr>
        <w:endnoteReference w:id="7"/>
      </w:r>
      <w:r w:rsidR="005A0539" w:rsidRPr="00685BB1">
        <w:rPr>
          <w:rFonts w:asciiTheme="majorHAnsi" w:hAnsiTheme="majorHAnsi" w:cstheme="majorHAnsi"/>
          <w:sz w:val="22"/>
          <w:szCs w:val="22"/>
        </w:rPr>
        <w:t xml:space="preserve"> </w:t>
      </w:r>
      <w:r w:rsidRPr="00685BB1">
        <w:rPr>
          <w:rFonts w:asciiTheme="majorHAnsi" w:hAnsiTheme="majorHAnsi" w:cstheme="majorHAnsi"/>
          <w:sz w:val="22"/>
          <w:szCs w:val="22"/>
        </w:rPr>
        <w:br/>
      </w:r>
    </w:p>
    <w:p w14:paraId="325CE433" w14:textId="0B886620" w:rsidR="00685BB1" w:rsidRDefault="00FF6C41" w:rsidP="00580134">
      <w:pPr>
        <w:rPr>
          <w:rFonts w:asciiTheme="majorHAnsi" w:hAnsiTheme="majorHAnsi" w:cstheme="majorHAnsi"/>
          <w:sz w:val="22"/>
          <w:szCs w:val="22"/>
        </w:rPr>
      </w:pPr>
      <w:r w:rsidRPr="00685BB1">
        <w:rPr>
          <w:rFonts w:asciiTheme="majorHAnsi" w:hAnsiTheme="majorHAnsi" w:cstheme="majorHAnsi"/>
          <w:sz w:val="22"/>
          <w:szCs w:val="22"/>
        </w:rPr>
        <w:t xml:space="preserve">These findings have been confirmed by more recent evidence. </w:t>
      </w:r>
      <w:r w:rsidR="009A2AF0" w:rsidRPr="00685BB1">
        <w:rPr>
          <w:rFonts w:asciiTheme="majorHAnsi" w:hAnsiTheme="majorHAnsi" w:cstheme="majorHAnsi"/>
          <w:sz w:val="22"/>
          <w:szCs w:val="22"/>
        </w:rPr>
        <w:t xml:space="preserve">In its analysis of the results of the 2015 round of </w:t>
      </w:r>
      <w:r w:rsidR="00685BB1" w:rsidRPr="00685BB1">
        <w:rPr>
          <w:rFonts w:asciiTheme="majorHAnsi" w:eastAsiaTheme="minorHAnsi" w:hAnsiTheme="majorHAnsi" w:cstheme="majorHAnsi"/>
          <w:sz w:val="22"/>
          <w:szCs w:val="22"/>
          <w:lang w:val="en-GB" w:eastAsia="en-US"/>
        </w:rPr>
        <w:t xml:space="preserve">Programme for International Student Assessment </w:t>
      </w:r>
      <w:r w:rsidR="00685BB1">
        <w:rPr>
          <w:rFonts w:asciiTheme="majorHAnsi" w:eastAsiaTheme="minorHAnsi" w:hAnsiTheme="majorHAnsi" w:cstheme="majorHAnsi"/>
          <w:sz w:val="22"/>
          <w:szCs w:val="22"/>
          <w:lang w:val="en-GB" w:eastAsia="en-US"/>
        </w:rPr>
        <w:t>(</w:t>
      </w:r>
      <w:r w:rsidR="009A2AF0" w:rsidRPr="00685BB1">
        <w:rPr>
          <w:rFonts w:asciiTheme="majorHAnsi" w:hAnsiTheme="majorHAnsi" w:cstheme="majorHAnsi"/>
          <w:sz w:val="22"/>
          <w:szCs w:val="22"/>
        </w:rPr>
        <w:t>PISA</w:t>
      </w:r>
      <w:r w:rsidR="00685BB1">
        <w:rPr>
          <w:rFonts w:asciiTheme="majorHAnsi" w:hAnsiTheme="majorHAnsi" w:cstheme="majorHAnsi"/>
          <w:sz w:val="22"/>
          <w:szCs w:val="22"/>
        </w:rPr>
        <w:t>)</w:t>
      </w:r>
      <w:r w:rsidR="009A2AF0" w:rsidRPr="00685BB1">
        <w:rPr>
          <w:rFonts w:asciiTheme="majorHAnsi" w:hAnsiTheme="majorHAnsi" w:cstheme="majorHAnsi"/>
          <w:sz w:val="22"/>
          <w:szCs w:val="22"/>
        </w:rPr>
        <w:t xml:space="preserve"> tests, </w:t>
      </w:r>
      <w:r w:rsidR="00ED0CF3" w:rsidRPr="00685BB1">
        <w:rPr>
          <w:rFonts w:asciiTheme="majorHAnsi" w:hAnsiTheme="majorHAnsi" w:cstheme="majorHAnsi"/>
          <w:sz w:val="22"/>
          <w:szCs w:val="22"/>
        </w:rPr>
        <w:t>the Australian Council for Educational Research (</w:t>
      </w:r>
      <w:r w:rsidR="005A0539" w:rsidRPr="00685BB1">
        <w:rPr>
          <w:rFonts w:asciiTheme="majorHAnsi" w:hAnsiTheme="majorHAnsi" w:cstheme="majorHAnsi"/>
          <w:sz w:val="22"/>
          <w:szCs w:val="22"/>
        </w:rPr>
        <w:t>ACER</w:t>
      </w:r>
      <w:r w:rsidR="00ED0CF3" w:rsidRPr="00685BB1">
        <w:rPr>
          <w:rFonts w:asciiTheme="majorHAnsi" w:hAnsiTheme="majorHAnsi" w:cstheme="majorHAnsi"/>
          <w:sz w:val="22"/>
          <w:szCs w:val="22"/>
        </w:rPr>
        <w:t>)</w:t>
      </w:r>
      <w:r w:rsidR="005A0539" w:rsidRPr="00685BB1">
        <w:rPr>
          <w:rFonts w:asciiTheme="majorHAnsi" w:hAnsiTheme="majorHAnsi" w:cstheme="majorHAnsi"/>
          <w:sz w:val="22"/>
          <w:szCs w:val="22"/>
        </w:rPr>
        <w:t xml:space="preserve"> </w:t>
      </w:r>
      <w:r w:rsidR="009A2AF0" w:rsidRPr="00685BB1">
        <w:rPr>
          <w:rFonts w:asciiTheme="majorHAnsi" w:hAnsiTheme="majorHAnsi" w:cstheme="majorHAnsi"/>
          <w:sz w:val="22"/>
          <w:szCs w:val="22"/>
        </w:rPr>
        <w:t xml:space="preserve">concluded: </w:t>
      </w:r>
      <w:r w:rsidR="00161C68" w:rsidRPr="00685BB1">
        <w:rPr>
          <w:rFonts w:asciiTheme="majorHAnsi" w:hAnsiTheme="majorHAnsi" w:cstheme="majorHAnsi"/>
          <w:sz w:val="22"/>
          <w:szCs w:val="22"/>
        </w:rPr>
        <w:t>“Regardless of their own socioeconomic background</w:t>
      </w:r>
      <w:r w:rsidR="009A2AF0" w:rsidRPr="00685BB1">
        <w:rPr>
          <w:rFonts w:asciiTheme="majorHAnsi" w:hAnsiTheme="majorHAnsi" w:cstheme="majorHAnsi"/>
          <w:sz w:val="22"/>
          <w:szCs w:val="22"/>
        </w:rPr>
        <w:t xml:space="preserve"> </w:t>
      </w:r>
      <w:r w:rsidR="00161C68" w:rsidRPr="00685BB1">
        <w:rPr>
          <w:rFonts w:asciiTheme="majorHAnsi" w:hAnsiTheme="majorHAnsi" w:cstheme="majorHAnsi"/>
          <w:sz w:val="22"/>
          <w:szCs w:val="22"/>
        </w:rPr>
        <w:t>students enrolled in a school with a high average socioeconomic background tended to perform at a higher level than students enrolled in a school with a low average socioeconomic background.”</w:t>
      </w:r>
      <w:r w:rsidR="004223E7" w:rsidRPr="00685BB1">
        <w:rPr>
          <w:rStyle w:val="EndnoteReference"/>
          <w:rFonts w:asciiTheme="majorHAnsi" w:hAnsiTheme="majorHAnsi" w:cstheme="majorHAnsi"/>
          <w:sz w:val="22"/>
          <w:szCs w:val="22"/>
        </w:rPr>
        <w:endnoteReference w:id="8"/>
      </w:r>
      <w:r w:rsidR="00161C68" w:rsidRPr="00685BB1">
        <w:rPr>
          <w:rFonts w:asciiTheme="majorHAnsi" w:hAnsiTheme="majorHAnsi" w:cstheme="majorHAnsi"/>
          <w:sz w:val="22"/>
          <w:szCs w:val="22"/>
        </w:rPr>
        <w:t xml:space="preserve"> </w:t>
      </w:r>
    </w:p>
    <w:p w14:paraId="34CEF0FD" w14:textId="77777777" w:rsidR="00685BB1" w:rsidRDefault="00685BB1" w:rsidP="00580134">
      <w:pPr>
        <w:rPr>
          <w:rFonts w:asciiTheme="majorHAnsi" w:hAnsiTheme="majorHAnsi" w:cstheme="majorHAnsi"/>
          <w:sz w:val="22"/>
          <w:szCs w:val="22"/>
        </w:rPr>
      </w:pPr>
    </w:p>
    <w:p w14:paraId="5F3D67E2" w14:textId="7B9675E9" w:rsidR="002878F5" w:rsidRPr="00685BB1" w:rsidRDefault="00685BB1" w:rsidP="00580134">
      <w:pPr>
        <w:rPr>
          <w:rFonts w:asciiTheme="majorHAnsi" w:eastAsiaTheme="minorHAnsi" w:hAnsiTheme="majorHAnsi" w:cstheme="majorHAnsi"/>
          <w:sz w:val="22"/>
          <w:szCs w:val="22"/>
          <w:lang w:eastAsia="en-US"/>
        </w:rPr>
      </w:pPr>
      <w:r>
        <w:rPr>
          <w:rFonts w:asciiTheme="majorHAnsi" w:hAnsiTheme="majorHAnsi" w:cstheme="majorHAnsi"/>
          <w:sz w:val="22"/>
          <w:szCs w:val="22"/>
        </w:rPr>
        <w:t>Importan</w:t>
      </w:r>
      <w:r w:rsidR="009A2AF0" w:rsidRPr="00685BB1">
        <w:rPr>
          <w:rFonts w:asciiTheme="majorHAnsi" w:hAnsiTheme="majorHAnsi" w:cstheme="majorHAnsi"/>
          <w:sz w:val="22"/>
          <w:szCs w:val="22"/>
        </w:rPr>
        <w:t xml:space="preserve">tly, the </w:t>
      </w:r>
      <w:r w:rsidR="0024036D" w:rsidRPr="00685BB1">
        <w:rPr>
          <w:rFonts w:asciiTheme="majorHAnsi" w:eastAsiaTheme="minorHAnsi" w:hAnsiTheme="majorHAnsi" w:cstheme="majorHAnsi"/>
          <w:sz w:val="22"/>
          <w:szCs w:val="22"/>
        </w:rPr>
        <w:t>ACER</w:t>
      </w:r>
      <w:r w:rsidR="009A2AF0" w:rsidRPr="00685BB1">
        <w:rPr>
          <w:rFonts w:asciiTheme="majorHAnsi" w:eastAsiaTheme="minorHAnsi" w:hAnsiTheme="majorHAnsi" w:cstheme="majorHAnsi"/>
          <w:sz w:val="22"/>
          <w:szCs w:val="22"/>
        </w:rPr>
        <w:t xml:space="preserve"> analysis confirmed that peer effects are a significant driver of student outcomes. </w:t>
      </w:r>
      <w:r w:rsidR="007619BB" w:rsidRPr="00685BB1">
        <w:rPr>
          <w:rFonts w:asciiTheme="majorHAnsi" w:eastAsiaTheme="minorHAnsi" w:hAnsiTheme="majorHAnsi" w:cstheme="majorHAnsi"/>
          <w:sz w:val="22"/>
          <w:szCs w:val="22"/>
          <w:lang w:eastAsia="en-US"/>
        </w:rPr>
        <w:t>“Disadvantaged students in average socioeconomic level schools scored about 25 points, or almost a year of schooling, higher than those in disadvantaged schools. Similarly, disadvantaged students in advantaged schools scored another 33 points, which was equal to more than one year</w:t>
      </w:r>
      <w:r w:rsidR="007619BB" w:rsidRPr="00685BB1">
        <w:rPr>
          <w:rFonts w:asciiTheme="majorHAnsi" w:hAnsiTheme="majorHAnsi" w:cstheme="majorHAnsi"/>
          <w:sz w:val="22"/>
          <w:szCs w:val="22"/>
        </w:rPr>
        <w:t xml:space="preserve"> </w:t>
      </w:r>
      <w:r w:rsidR="007619BB" w:rsidRPr="00685BB1">
        <w:rPr>
          <w:rFonts w:asciiTheme="majorHAnsi" w:eastAsiaTheme="minorHAnsi" w:hAnsiTheme="majorHAnsi" w:cstheme="majorHAnsi"/>
          <w:sz w:val="22"/>
          <w:szCs w:val="22"/>
          <w:lang w:eastAsia="en-US"/>
        </w:rPr>
        <w:t>of schooling.”</w:t>
      </w:r>
      <w:r w:rsidR="007619BB" w:rsidRPr="00685BB1">
        <w:rPr>
          <w:rStyle w:val="EndnoteReference"/>
          <w:rFonts w:asciiTheme="majorHAnsi" w:hAnsiTheme="majorHAnsi" w:cstheme="majorHAnsi"/>
          <w:sz w:val="22"/>
          <w:szCs w:val="22"/>
        </w:rPr>
        <w:endnoteReference w:id="9"/>
      </w:r>
      <w:r w:rsidR="007619BB" w:rsidRPr="00685BB1">
        <w:rPr>
          <w:rFonts w:asciiTheme="majorHAnsi" w:eastAsiaTheme="minorHAnsi" w:hAnsiTheme="majorHAnsi" w:cstheme="majorHAnsi"/>
          <w:sz w:val="22"/>
          <w:szCs w:val="22"/>
          <w:lang w:eastAsia="en-US"/>
        </w:rPr>
        <w:t xml:space="preserve"> </w:t>
      </w:r>
      <w:r w:rsidR="009A2AF0" w:rsidRPr="00685BB1">
        <w:rPr>
          <w:rFonts w:asciiTheme="majorHAnsi" w:eastAsiaTheme="minorHAnsi" w:hAnsiTheme="majorHAnsi" w:cstheme="majorHAnsi"/>
          <w:sz w:val="22"/>
          <w:szCs w:val="22"/>
        </w:rPr>
        <w:t>The report concluded that: “the social composition of schools had just as strong an impact on the likelihood of being a low achiever as a student’s own family background.”</w:t>
      </w:r>
      <w:r w:rsidR="009A2AF0" w:rsidRPr="00685BB1">
        <w:rPr>
          <w:rStyle w:val="EndnoteReference"/>
          <w:rFonts w:asciiTheme="majorHAnsi" w:hAnsiTheme="majorHAnsi" w:cstheme="majorHAnsi"/>
          <w:sz w:val="22"/>
          <w:szCs w:val="22"/>
        </w:rPr>
        <w:endnoteReference w:id="10"/>
      </w:r>
      <w:r w:rsidR="009A2AF0" w:rsidRPr="00685BB1">
        <w:rPr>
          <w:rFonts w:asciiTheme="majorHAnsi" w:eastAsiaTheme="minorHAnsi" w:hAnsiTheme="majorHAnsi" w:cstheme="majorHAnsi"/>
          <w:sz w:val="22"/>
          <w:szCs w:val="22"/>
        </w:rPr>
        <w:t> </w:t>
      </w:r>
      <w:r w:rsidR="009A2AF0" w:rsidRPr="00685BB1">
        <w:rPr>
          <w:rFonts w:asciiTheme="majorHAnsi" w:eastAsiaTheme="minorHAnsi" w:hAnsiTheme="majorHAnsi" w:cstheme="majorHAnsi"/>
          <w:sz w:val="22"/>
          <w:szCs w:val="22"/>
        </w:rPr>
        <w:br/>
      </w:r>
    </w:p>
    <w:p w14:paraId="353B78C7" w14:textId="5DDC2147" w:rsidR="00580134" w:rsidRPr="00685BB1" w:rsidRDefault="00580134" w:rsidP="00580134">
      <w:pPr>
        <w:rPr>
          <w:rFonts w:asciiTheme="majorHAnsi" w:hAnsiTheme="majorHAnsi" w:cstheme="majorHAnsi"/>
          <w:sz w:val="22"/>
          <w:szCs w:val="22"/>
          <w:lang w:val="en-GB"/>
        </w:rPr>
      </w:pPr>
      <w:r w:rsidRPr="00685BB1">
        <w:rPr>
          <w:rFonts w:asciiTheme="majorHAnsi" w:eastAsiaTheme="minorHAnsi" w:hAnsiTheme="majorHAnsi" w:cstheme="majorHAnsi"/>
          <w:sz w:val="22"/>
          <w:szCs w:val="22"/>
          <w:lang w:val="en-GB" w:eastAsia="en-US"/>
        </w:rPr>
        <w:t>In 2018</w:t>
      </w:r>
      <w:r w:rsidR="00D85C76">
        <w:rPr>
          <w:rFonts w:asciiTheme="majorHAnsi" w:eastAsiaTheme="minorHAnsi" w:hAnsiTheme="majorHAnsi" w:cstheme="majorHAnsi"/>
          <w:sz w:val="22"/>
          <w:szCs w:val="22"/>
          <w:lang w:val="en-GB" w:eastAsia="en-US"/>
        </w:rPr>
        <w:t>,</w:t>
      </w:r>
      <w:r w:rsidRPr="00685BB1">
        <w:rPr>
          <w:rFonts w:asciiTheme="majorHAnsi" w:eastAsiaTheme="minorHAnsi" w:hAnsiTheme="majorHAnsi" w:cstheme="majorHAnsi"/>
          <w:sz w:val="22"/>
          <w:szCs w:val="22"/>
          <w:lang w:val="en-GB" w:eastAsia="en-US"/>
        </w:rPr>
        <w:t xml:space="preserve"> Dr Jenny Chesters, research fellow at the Melbourne Graduate School of Education, conducted an analysis </w:t>
      </w:r>
      <w:r w:rsidR="002858C1" w:rsidRPr="00685BB1">
        <w:rPr>
          <w:rFonts w:asciiTheme="majorHAnsi" w:eastAsiaTheme="minorHAnsi" w:hAnsiTheme="majorHAnsi" w:cstheme="majorHAnsi"/>
          <w:sz w:val="22"/>
          <w:szCs w:val="22"/>
          <w:lang w:val="en-GB" w:eastAsia="en-US"/>
        </w:rPr>
        <w:t xml:space="preserve">using data from the </w:t>
      </w:r>
      <w:r w:rsidR="00685BB1">
        <w:rPr>
          <w:rFonts w:asciiTheme="majorHAnsi" w:eastAsiaTheme="minorHAnsi" w:hAnsiTheme="majorHAnsi" w:cstheme="majorHAnsi"/>
          <w:sz w:val="22"/>
          <w:szCs w:val="22"/>
          <w:lang w:val="en-GB" w:eastAsia="en-US"/>
        </w:rPr>
        <w:t>PISA</w:t>
      </w:r>
      <w:r w:rsidR="002858C1" w:rsidRPr="00685BB1">
        <w:rPr>
          <w:rFonts w:asciiTheme="majorHAnsi" w:eastAsiaTheme="minorHAnsi" w:hAnsiTheme="majorHAnsi" w:cstheme="majorHAnsi"/>
          <w:sz w:val="22"/>
          <w:szCs w:val="22"/>
          <w:lang w:val="en-GB" w:eastAsia="en-US"/>
        </w:rPr>
        <w:t xml:space="preserve"> tests and the </w:t>
      </w:r>
      <w:r w:rsidR="002858C1" w:rsidRPr="00685BB1">
        <w:rPr>
          <w:rFonts w:asciiTheme="majorHAnsi" w:hAnsiTheme="majorHAnsi" w:cstheme="majorHAnsi"/>
          <w:sz w:val="22"/>
          <w:szCs w:val="22"/>
        </w:rPr>
        <w:t xml:space="preserve">Longitudinal Surveys of Australian Youth. Chesters found that: </w:t>
      </w:r>
      <w:r w:rsidRPr="00685BB1">
        <w:rPr>
          <w:rFonts w:asciiTheme="majorHAnsi" w:eastAsiaTheme="minorHAnsi" w:hAnsiTheme="majorHAnsi" w:cstheme="majorHAnsi"/>
          <w:sz w:val="22"/>
          <w:szCs w:val="22"/>
          <w:lang w:val="en-GB" w:eastAsia="en-US"/>
        </w:rPr>
        <w:t>“The SES of the school attended is positively associated with PISA score with students attending high SES schools scoring, on average, 66 points higher than those attending low SES schools, net of other factors.</w:t>
      </w:r>
      <w:r w:rsidRPr="00685BB1">
        <w:rPr>
          <w:rFonts w:asciiTheme="majorHAnsi" w:hAnsiTheme="majorHAnsi" w:cstheme="majorHAnsi"/>
          <w:sz w:val="22"/>
          <w:szCs w:val="22"/>
          <w:lang w:val="en-GB"/>
        </w:rPr>
        <w:t>”</w:t>
      </w:r>
      <w:r w:rsidRPr="00685BB1">
        <w:rPr>
          <w:rStyle w:val="EndnoteReference"/>
          <w:rFonts w:asciiTheme="majorHAnsi" w:hAnsiTheme="majorHAnsi" w:cstheme="majorHAnsi"/>
          <w:sz w:val="22"/>
          <w:szCs w:val="22"/>
          <w:lang w:val="en-GB"/>
        </w:rPr>
        <w:endnoteReference w:id="11"/>
      </w:r>
    </w:p>
    <w:p w14:paraId="4BD84E32" w14:textId="36A891F6" w:rsidR="00580134" w:rsidRPr="00685BB1" w:rsidRDefault="00580134" w:rsidP="00580134">
      <w:pPr>
        <w:rPr>
          <w:rFonts w:asciiTheme="majorHAnsi" w:hAnsiTheme="majorHAnsi" w:cstheme="majorHAnsi"/>
          <w:sz w:val="22"/>
          <w:szCs w:val="22"/>
        </w:rPr>
      </w:pPr>
    </w:p>
    <w:p w14:paraId="71EB3DF1" w14:textId="77777777" w:rsidR="00D85C76" w:rsidRDefault="00D85C76" w:rsidP="00E2692B">
      <w:pPr>
        <w:rPr>
          <w:rFonts w:asciiTheme="majorHAnsi" w:hAnsiTheme="majorHAnsi" w:cstheme="majorHAnsi"/>
          <w:sz w:val="22"/>
          <w:szCs w:val="22"/>
          <w:lang w:eastAsia="en-AU"/>
        </w:rPr>
      </w:pPr>
    </w:p>
    <w:p w14:paraId="62E95B73" w14:textId="77777777" w:rsidR="00D85C76" w:rsidRDefault="00D85C76" w:rsidP="00E2692B">
      <w:pPr>
        <w:rPr>
          <w:rFonts w:asciiTheme="majorHAnsi" w:hAnsiTheme="majorHAnsi" w:cstheme="majorHAnsi"/>
          <w:sz w:val="22"/>
          <w:szCs w:val="22"/>
          <w:lang w:eastAsia="en-AU"/>
        </w:rPr>
      </w:pPr>
    </w:p>
    <w:p w14:paraId="469F84A4" w14:textId="77777777" w:rsidR="00D85C76" w:rsidRDefault="00D85C76" w:rsidP="00E2692B">
      <w:pPr>
        <w:rPr>
          <w:rFonts w:asciiTheme="majorHAnsi" w:hAnsiTheme="majorHAnsi" w:cstheme="majorHAnsi"/>
          <w:sz w:val="22"/>
          <w:szCs w:val="22"/>
          <w:lang w:eastAsia="en-AU"/>
        </w:rPr>
      </w:pPr>
    </w:p>
    <w:p w14:paraId="6A1112C9" w14:textId="2D663F84" w:rsidR="00E2692B" w:rsidRPr="00685BB1" w:rsidRDefault="00E2692B" w:rsidP="00E2692B">
      <w:pPr>
        <w:rPr>
          <w:rFonts w:asciiTheme="majorHAnsi" w:hAnsiTheme="majorHAnsi" w:cstheme="majorHAnsi"/>
          <w:sz w:val="22"/>
          <w:szCs w:val="22"/>
          <w:lang w:eastAsia="en-AU"/>
        </w:rPr>
      </w:pPr>
      <w:r w:rsidRPr="00685BB1">
        <w:rPr>
          <w:rFonts w:asciiTheme="majorHAnsi" w:hAnsiTheme="majorHAnsi" w:cstheme="majorHAnsi"/>
          <w:sz w:val="22"/>
          <w:szCs w:val="22"/>
          <w:lang w:eastAsia="en-AU"/>
        </w:rPr>
        <w:lastRenderedPageBreak/>
        <w:t>In 2019</w:t>
      </w:r>
      <w:r w:rsidR="00D85C76">
        <w:rPr>
          <w:rFonts w:asciiTheme="majorHAnsi" w:hAnsiTheme="majorHAnsi" w:cstheme="majorHAnsi"/>
          <w:sz w:val="22"/>
          <w:szCs w:val="22"/>
          <w:lang w:eastAsia="en-AU"/>
        </w:rPr>
        <w:t>,</w:t>
      </w:r>
      <w:r w:rsidRPr="00685BB1">
        <w:rPr>
          <w:rFonts w:asciiTheme="majorHAnsi" w:hAnsiTheme="majorHAnsi" w:cstheme="majorHAnsi"/>
          <w:sz w:val="22"/>
          <w:szCs w:val="22"/>
          <w:lang w:eastAsia="en-AU"/>
        </w:rPr>
        <w:t xml:space="preserve"> the OECD concluded that: “Students’ performance is influenced by their personal characteristics, but also by those of their schoolmates. Schoolmates can motivate other students and help each other overcome learning difficulties; but they can also disrupt instruction, require disproportionate attention from teachers, and be a source of anxiety… The concentration of low achievers usually has negative consequences on student performance, and this is especially the case for students who are themselves low achievers.”</w:t>
      </w:r>
      <w:r w:rsidRPr="00685BB1">
        <w:rPr>
          <w:rStyle w:val="EndnoteReference"/>
          <w:rFonts w:asciiTheme="majorHAnsi" w:hAnsiTheme="majorHAnsi" w:cstheme="majorHAnsi"/>
          <w:sz w:val="22"/>
          <w:szCs w:val="22"/>
          <w:lang w:eastAsia="en-AU"/>
        </w:rPr>
        <w:endnoteReference w:id="12"/>
      </w:r>
    </w:p>
    <w:p w14:paraId="7BF4669A" w14:textId="77777777" w:rsidR="00E2692B" w:rsidRPr="00685BB1" w:rsidRDefault="00E2692B" w:rsidP="00580134">
      <w:pPr>
        <w:rPr>
          <w:rFonts w:asciiTheme="majorHAnsi" w:hAnsiTheme="majorHAnsi" w:cstheme="majorHAnsi"/>
          <w:sz w:val="22"/>
          <w:szCs w:val="22"/>
        </w:rPr>
      </w:pPr>
    </w:p>
    <w:p w14:paraId="5BAABCE3" w14:textId="70B071AD" w:rsidR="00BA0A75" w:rsidRPr="00685BB1" w:rsidRDefault="002858C1" w:rsidP="00BA0A75">
      <w:pPr>
        <w:rPr>
          <w:rFonts w:asciiTheme="majorHAnsi" w:hAnsiTheme="majorHAnsi" w:cstheme="majorHAnsi"/>
          <w:sz w:val="22"/>
          <w:szCs w:val="22"/>
        </w:rPr>
      </w:pPr>
      <w:r w:rsidRPr="00685BB1">
        <w:rPr>
          <w:rFonts w:asciiTheme="majorHAnsi" w:hAnsiTheme="majorHAnsi" w:cstheme="majorHAnsi"/>
          <w:sz w:val="22"/>
          <w:szCs w:val="22"/>
        </w:rPr>
        <w:t>In 2020</w:t>
      </w:r>
      <w:r w:rsidR="00D85C76">
        <w:rPr>
          <w:rFonts w:asciiTheme="majorHAnsi" w:hAnsiTheme="majorHAnsi" w:cstheme="majorHAnsi"/>
          <w:sz w:val="22"/>
          <w:szCs w:val="22"/>
        </w:rPr>
        <w:t>,</w:t>
      </w:r>
      <w:r w:rsidRPr="00685BB1">
        <w:rPr>
          <w:rFonts w:asciiTheme="majorHAnsi" w:hAnsiTheme="majorHAnsi" w:cstheme="majorHAnsi"/>
          <w:sz w:val="22"/>
          <w:szCs w:val="22"/>
        </w:rPr>
        <w:t xml:space="preserve"> economists </w:t>
      </w:r>
      <w:r w:rsidR="00216979" w:rsidRPr="00685BB1">
        <w:rPr>
          <w:rFonts w:asciiTheme="majorHAnsi" w:hAnsiTheme="majorHAnsi" w:cstheme="majorHAnsi"/>
          <w:sz w:val="22"/>
          <w:szCs w:val="22"/>
        </w:rPr>
        <w:t>Alexandre de Genre and Nicolas Salamanca found that</w:t>
      </w:r>
      <w:r w:rsidRPr="00685BB1">
        <w:rPr>
          <w:rFonts w:asciiTheme="majorHAnsi" w:hAnsiTheme="majorHAnsi" w:cstheme="majorHAnsi"/>
          <w:sz w:val="22"/>
          <w:szCs w:val="22"/>
        </w:rPr>
        <w:t xml:space="preserve"> </w:t>
      </w:r>
      <w:r w:rsidR="005B0712" w:rsidRPr="00685BB1">
        <w:rPr>
          <w:rFonts w:asciiTheme="majorHAnsi" w:hAnsiTheme="majorHAnsi" w:cstheme="majorHAnsi"/>
          <w:sz w:val="22"/>
          <w:szCs w:val="22"/>
        </w:rPr>
        <w:t>“</w:t>
      </w:r>
      <w:r w:rsidR="005B0712" w:rsidRPr="00685BB1">
        <w:rPr>
          <w:rFonts w:asciiTheme="majorHAnsi" w:eastAsiaTheme="minorHAnsi" w:hAnsiTheme="majorHAnsi" w:cstheme="majorHAnsi"/>
          <w:sz w:val="22"/>
          <w:szCs w:val="22"/>
          <w:lang w:eastAsia="en-US"/>
        </w:rPr>
        <w:t>a one standard deviation (1 SD) increase in the average</w:t>
      </w:r>
      <w:r w:rsidR="005B0712" w:rsidRPr="00685BB1">
        <w:rPr>
          <w:rFonts w:asciiTheme="majorHAnsi" w:hAnsiTheme="majorHAnsi" w:cstheme="majorHAnsi"/>
          <w:sz w:val="22"/>
          <w:szCs w:val="22"/>
        </w:rPr>
        <w:t xml:space="preserve"> </w:t>
      </w:r>
      <w:r w:rsidR="005B0712" w:rsidRPr="00685BB1">
        <w:rPr>
          <w:rFonts w:asciiTheme="majorHAnsi" w:eastAsiaTheme="minorHAnsi" w:hAnsiTheme="majorHAnsi" w:cstheme="majorHAnsi"/>
          <w:sz w:val="22"/>
          <w:szCs w:val="22"/>
          <w:lang w:eastAsia="en-US"/>
        </w:rPr>
        <w:t>test scores of classroom peers at baseline increases own test scores by 5.2 percent of a standard</w:t>
      </w:r>
      <w:r w:rsidR="005B0712" w:rsidRPr="00685BB1">
        <w:rPr>
          <w:rFonts w:asciiTheme="majorHAnsi" w:hAnsiTheme="majorHAnsi" w:cstheme="majorHAnsi"/>
          <w:sz w:val="22"/>
          <w:szCs w:val="22"/>
        </w:rPr>
        <w:t xml:space="preserve"> </w:t>
      </w:r>
      <w:r w:rsidR="005B0712" w:rsidRPr="00685BB1">
        <w:rPr>
          <w:rFonts w:asciiTheme="majorHAnsi" w:eastAsiaTheme="minorHAnsi" w:hAnsiTheme="majorHAnsi" w:cstheme="majorHAnsi"/>
          <w:sz w:val="22"/>
          <w:szCs w:val="22"/>
          <w:lang w:eastAsia="en-US"/>
        </w:rPr>
        <w:t>deviation two years later.</w:t>
      </w:r>
      <w:r w:rsidR="005B0712" w:rsidRPr="00685BB1">
        <w:rPr>
          <w:rFonts w:asciiTheme="majorHAnsi" w:hAnsiTheme="majorHAnsi" w:cstheme="majorHAnsi"/>
          <w:sz w:val="22"/>
          <w:szCs w:val="22"/>
        </w:rPr>
        <w:t>”</w:t>
      </w:r>
      <w:r w:rsidR="007D3908" w:rsidRPr="00685BB1">
        <w:rPr>
          <w:rStyle w:val="EndnoteReference"/>
          <w:rFonts w:asciiTheme="majorHAnsi" w:hAnsiTheme="majorHAnsi" w:cstheme="majorHAnsi"/>
          <w:sz w:val="22"/>
          <w:szCs w:val="22"/>
        </w:rPr>
        <w:endnoteReference w:id="13"/>
      </w:r>
      <w:r w:rsidR="005B0712" w:rsidRPr="00685BB1">
        <w:rPr>
          <w:rFonts w:asciiTheme="majorHAnsi" w:hAnsiTheme="majorHAnsi" w:cstheme="majorHAnsi"/>
          <w:sz w:val="22"/>
          <w:szCs w:val="22"/>
        </w:rPr>
        <w:t xml:space="preserve"> </w:t>
      </w:r>
    </w:p>
    <w:p w14:paraId="6CF26CD2" w14:textId="2C56371A" w:rsidR="00474C08" w:rsidRPr="00685BB1" w:rsidRDefault="00474C08" w:rsidP="00E2692B">
      <w:pPr>
        <w:rPr>
          <w:rFonts w:asciiTheme="majorHAnsi" w:hAnsiTheme="majorHAnsi" w:cstheme="majorHAnsi"/>
          <w:sz w:val="22"/>
          <w:szCs w:val="22"/>
        </w:rPr>
      </w:pPr>
    </w:p>
    <w:p w14:paraId="3A5A4C75" w14:textId="79B711CC" w:rsidR="00C92751" w:rsidRPr="00685BB1" w:rsidRDefault="00CF5D5E" w:rsidP="00E2692B">
      <w:pPr>
        <w:rPr>
          <w:rFonts w:asciiTheme="majorHAnsi" w:hAnsiTheme="majorHAnsi" w:cstheme="majorHAnsi"/>
          <w:sz w:val="22"/>
          <w:szCs w:val="22"/>
        </w:rPr>
      </w:pPr>
      <w:r w:rsidRPr="00685BB1">
        <w:rPr>
          <w:rFonts w:asciiTheme="majorHAnsi" w:hAnsiTheme="majorHAnsi" w:cstheme="majorHAnsi"/>
          <w:sz w:val="22"/>
          <w:szCs w:val="22"/>
        </w:rPr>
        <w:t xml:space="preserve">Changes in </w:t>
      </w:r>
      <w:r w:rsidR="00E2692B" w:rsidRPr="00685BB1">
        <w:rPr>
          <w:rFonts w:asciiTheme="majorHAnsi" w:hAnsiTheme="majorHAnsi" w:cstheme="majorHAnsi"/>
          <w:sz w:val="22"/>
          <w:szCs w:val="22"/>
        </w:rPr>
        <w:t>Year 12 results in NSW, Victoria and Queensland between 2006 and 2018</w:t>
      </w:r>
      <w:r w:rsidRPr="00685BB1">
        <w:rPr>
          <w:rFonts w:asciiTheme="majorHAnsi" w:hAnsiTheme="majorHAnsi" w:cstheme="majorHAnsi"/>
          <w:sz w:val="22"/>
          <w:szCs w:val="22"/>
        </w:rPr>
        <w:t xml:space="preserve"> </w:t>
      </w:r>
      <w:r w:rsidR="00D85C76">
        <w:rPr>
          <w:rFonts w:asciiTheme="majorHAnsi" w:hAnsiTheme="majorHAnsi" w:cstheme="majorHAnsi"/>
          <w:sz w:val="22"/>
          <w:szCs w:val="22"/>
        </w:rPr>
        <w:t>has shown f</w:t>
      </w:r>
      <w:r w:rsidRPr="00685BB1">
        <w:rPr>
          <w:rFonts w:asciiTheme="majorHAnsi" w:hAnsiTheme="majorHAnsi" w:cstheme="majorHAnsi"/>
          <w:sz w:val="22"/>
          <w:szCs w:val="22"/>
        </w:rPr>
        <w:t xml:space="preserve">urther evidence </w:t>
      </w:r>
      <w:r w:rsidR="00D85C76">
        <w:rPr>
          <w:rFonts w:asciiTheme="majorHAnsi" w:hAnsiTheme="majorHAnsi" w:cstheme="majorHAnsi"/>
          <w:sz w:val="22"/>
          <w:szCs w:val="22"/>
        </w:rPr>
        <w:t xml:space="preserve">of </w:t>
      </w:r>
      <w:r w:rsidRPr="00685BB1">
        <w:rPr>
          <w:rFonts w:asciiTheme="majorHAnsi" w:hAnsiTheme="majorHAnsi" w:cstheme="majorHAnsi"/>
          <w:sz w:val="22"/>
          <w:szCs w:val="22"/>
        </w:rPr>
        <w:t>the tightening links between the SES distribution of students between schools and the distribution of both high achievement scores and high achieving students</w:t>
      </w:r>
      <w:r w:rsidR="00E2692B" w:rsidRPr="00685BB1">
        <w:rPr>
          <w:rFonts w:asciiTheme="majorHAnsi" w:hAnsiTheme="majorHAnsi" w:cstheme="majorHAnsi"/>
          <w:sz w:val="22"/>
          <w:szCs w:val="22"/>
        </w:rPr>
        <w:t xml:space="preserve">. Schools in the highest ICSEA ranges have, on average, seen an increasing concentration of </w:t>
      </w:r>
      <w:r w:rsidR="00E2692B" w:rsidRPr="00685BB1">
        <w:rPr>
          <w:rFonts w:asciiTheme="majorHAnsi" w:hAnsiTheme="majorHAnsi" w:cstheme="majorHAnsi"/>
          <w:i/>
          <w:iCs/>
          <w:sz w:val="22"/>
          <w:szCs w:val="22"/>
        </w:rPr>
        <w:t>high</w:t>
      </w:r>
      <w:r w:rsidR="00E2692B" w:rsidRPr="00685BB1">
        <w:rPr>
          <w:rFonts w:asciiTheme="majorHAnsi" w:hAnsiTheme="majorHAnsi" w:cstheme="majorHAnsi"/>
          <w:sz w:val="22"/>
          <w:szCs w:val="22"/>
        </w:rPr>
        <w:t xml:space="preserve"> SES students and high-end results. The lowest ICSEA schools in all three states have an increasing concentration of </w:t>
      </w:r>
      <w:r w:rsidR="00E2692B" w:rsidRPr="00685BB1">
        <w:rPr>
          <w:rFonts w:asciiTheme="majorHAnsi" w:hAnsiTheme="majorHAnsi" w:cstheme="majorHAnsi"/>
          <w:i/>
          <w:iCs/>
          <w:sz w:val="22"/>
          <w:szCs w:val="22"/>
        </w:rPr>
        <w:t>low</w:t>
      </w:r>
      <w:r w:rsidR="00E2692B" w:rsidRPr="00685BB1">
        <w:rPr>
          <w:rFonts w:asciiTheme="majorHAnsi" w:hAnsiTheme="majorHAnsi" w:cstheme="majorHAnsi"/>
          <w:sz w:val="22"/>
          <w:szCs w:val="22"/>
        </w:rPr>
        <w:t xml:space="preserve"> SES students, and lower results.</w:t>
      </w:r>
      <w:r w:rsidR="00E2692B" w:rsidRPr="00685BB1">
        <w:rPr>
          <w:rStyle w:val="EndnoteReference"/>
          <w:rFonts w:asciiTheme="majorHAnsi" w:hAnsiTheme="majorHAnsi" w:cstheme="majorHAnsi"/>
          <w:sz w:val="22"/>
          <w:szCs w:val="22"/>
        </w:rPr>
        <w:endnoteReference w:id="14"/>
      </w:r>
    </w:p>
    <w:p w14:paraId="717A98B8" w14:textId="77777777" w:rsidR="00C92751" w:rsidRPr="00685BB1" w:rsidRDefault="00C92751" w:rsidP="00E2692B">
      <w:pPr>
        <w:rPr>
          <w:rFonts w:asciiTheme="majorHAnsi" w:hAnsiTheme="majorHAnsi" w:cstheme="majorHAnsi"/>
          <w:sz w:val="22"/>
          <w:szCs w:val="22"/>
        </w:rPr>
      </w:pPr>
    </w:p>
    <w:p w14:paraId="4203B55E" w14:textId="77CFF697" w:rsidR="00DD0602" w:rsidRPr="00295ED8" w:rsidRDefault="00DD0602" w:rsidP="00C35ADB">
      <w:pPr>
        <w:rPr>
          <w:rFonts w:asciiTheme="majorHAnsi" w:hAnsiTheme="majorHAnsi" w:cstheme="majorHAnsi"/>
          <w:sz w:val="22"/>
          <w:szCs w:val="22"/>
        </w:rPr>
      </w:pPr>
    </w:p>
    <w:p w14:paraId="0033F0AD" w14:textId="445A5784" w:rsidR="0053128C" w:rsidRPr="00734CA7" w:rsidRDefault="0053128C" w:rsidP="00C35ADB">
      <w:pPr>
        <w:rPr>
          <w:rFonts w:asciiTheme="majorHAnsi" w:hAnsiTheme="majorHAnsi" w:cstheme="majorHAnsi"/>
          <w:color w:val="4383A9"/>
          <w:sz w:val="22"/>
          <w:szCs w:val="22"/>
        </w:rPr>
      </w:pPr>
      <w:r w:rsidRPr="00734CA7">
        <w:rPr>
          <w:rFonts w:asciiTheme="majorHAnsi" w:hAnsiTheme="majorHAnsi" w:cstheme="majorHAnsi"/>
          <w:color w:val="4383A9"/>
          <w:sz w:val="22"/>
          <w:szCs w:val="22"/>
        </w:rPr>
        <w:t>Which of these drivers or barriers can governments change or influence?</w:t>
      </w:r>
    </w:p>
    <w:p w14:paraId="58DC403D" w14:textId="14994379" w:rsidR="0053128C" w:rsidRPr="00734CA7" w:rsidRDefault="0053128C" w:rsidP="00C35ADB">
      <w:pPr>
        <w:rPr>
          <w:rFonts w:asciiTheme="majorHAnsi" w:hAnsiTheme="majorHAnsi" w:cstheme="majorHAnsi"/>
          <w:color w:val="4383A9"/>
          <w:sz w:val="22"/>
          <w:szCs w:val="22"/>
        </w:rPr>
      </w:pPr>
    </w:p>
    <w:p w14:paraId="3FBECB23" w14:textId="77777777" w:rsidR="00D85C76" w:rsidRPr="00295ED8" w:rsidRDefault="00086919" w:rsidP="0053128C">
      <w:pPr>
        <w:rPr>
          <w:rFonts w:asciiTheme="majorHAnsi" w:hAnsiTheme="majorHAnsi" w:cstheme="majorHAnsi"/>
          <w:sz w:val="22"/>
          <w:szCs w:val="22"/>
        </w:rPr>
      </w:pPr>
      <w:r w:rsidRPr="00295ED8">
        <w:rPr>
          <w:rFonts w:asciiTheme="majorHAnsi" w:hAnsiTheme="majorHAnsi" w:cstheme="majorHAnsi"/>
          <w:sz w:val="22"/>
          <w:szCs w:val="22"/>
        </w:rPr>
        <w:t>The socio-economic character of Australian schools is partly produced by geographical location</w:t>
      </w:r>
      <w:r w:rsidR="00D85C76" w:rsidRPr="00295ED8">
        <w:rPr>
          <w:rFonts w:asciiTheme="majorHAnsi" w:hAnsiTheme="majorHAnsi" w:cstheme="majorHAnsi"/>
          <w:sz w:val="22"/>
          <w:szCs w:val="22"/>
        </w:rPr>
        <w:t xml:space="preserve">; </w:t>
      </w:r>
      <w:r w:rsidR="00C9390C" w:rsidRPr="00295ED8">
        <w:rPr>
          <w:rFonts w:asciiTheme="majorHAnsi" w:hAnsiTheme="majorHAnsi" w:cstheme="majorHAnsi"/>
          <w:sz w:val="22"/>
          <w:szCs w:val="22"/>
        </w:rPr>
        <w:t>t</w:t>
      </w:r>
      <w:r w:rsidRPr="00295ED8">
        <w:rPr>
          <w:rFonts w:asciiTheme="majorHAnsi" w:hAnsiTheme="majorHAnsi" w:cstheme="majorHAnsi"/>
          <w:sz w:val="22"/>
          <w:szCs w:val="22"/>
        </w:rPr>
        <w:t xml:space="preserve">o an extent, </w:t>
      </w:r>
      <w:r w:rsidR="00D15DB0" w:rsidRPr="00295ED8">
        <w:rPr>
          <w:rFonts w:asciiTheme="majorHAnsi" w:hAnsiTheme="majorHAnsi" w:cstheme="majorHAnsi"/>
          <w:sz w:val="22"/>
          <w:szCs w:val="22"/>
        </w:rPr>
        <w:t xml:space="preserve">student populations </w:t>
      </w:r>
      <w:r w:rsidRPr="00295ED8">
        <w:rPr>
          <w:rFonts w:asciiTheme="majorHAnsi" w:hAnsiTheme="majorHAnsi" w:cstheme="majorHAnsi"/>
          <w:sz w:val="22"/>
          <w:szCs w:val="22"/>
        </w:rPr>
        <w:t xml:space="preserve">reflect the character of the </w:t>
      </w:r>
      <w:r w:rsidR="0053128C" w:rsidRPr="00295ED8">
        <w:rPr>
          <w:rFonts w:asciiTheme="majorHAnsi" w:hAnsiTheme="majorHAnsi" w:cstheme="majorHAnsi"/>
          <w:sz w:val="22"/>
          <w:szCs w:val="22"/>
        </w:rPr>
        <w:t xml:space="preserve">communities they </w:t>
      </w:r>
      <w:r w:rsidRPr="00295ED8">
        <w:rPr>
          <w:rFonts w:asciiTheme="majorHAnsi" w:hAnsiTheme="majorHAnsi" w:cstheme="majorHAnsi"/>
          <w:sz w:val="22"/>
          <w:szCs w:val="22"/>
        </w:rPr>
        <w:t>are located in</w:t>
      </w:r>
      <w:r w:rsidR="0053128C" w:rsidRPr="00295ED8">
        <w:rPr>
          <w:rFonts w:asciiTheme="majorHAnsi" w:hAnsiTheme="majorHAnsi" w:cstheme="majorHAnsi"/>
          <w:sz w:val="22"/>
          <w:szCs w:val="22"/>
        </w:rPr>
        <w:t xml:space="preserve">. </w:t>
      </w:r>
      <w:r w:rsidRPr="00295ED8">
        <w:rPr>
          <w:rFonts w:asciiTheme="majorHAnsi" w:hAnsiTheme="majorHAnsi" w:cstheme="majorHAnsi"/>
          <w:sz w:val="22"/>
          <w:szCs w:val="22"/>
        </w:rPr>
        <w:t>However, 95 percent of Australian schools compete with at least one other school.</w:t>
      </w:r>
      <w:r w:rsidR="007734AC" w:rsidRPr="00295ED8">
        <w:rPr>
          <w:rStyle w:val="EndnoteReference"/>
          <w:rFonts w:asciiTheme="majorHAnsi" w:hAnsiTheme="majorHAnsi" w:cstheme="majorHAnsi"/>
          <w:sz w:val="22"/>
          <w:szCs w:val="22"/>
        </w:rPr>
        <w:endnoteReference w:id="15"/>
      </w:r>
      <w:r w:rsidRPr="00295ED8">
        <w:rPr>
          <w:rFonts w:asciiTheme="majorHAnsi" w:hAnsiTheme="majorHAnsi" w:cstheme="majorHAnsi"/>
          <w:sz w:val="22"/>
          <w:szCs w:val="22"/>
        </w:rPr>
        <w:t xml:space="preserve"> The basis on which this competition occurs has </w:t>
      </w:r>
      <w:r w:rsidR="00DF2F14" w:rsidRPr="00295ED8">
        <w:rPr>
          <w:rFonts w:asciiTheme="majorHAnsi" w:hAnsiTheme="majorHAnsi" w:cstheme="majorHAnsi"/>
          <w:sz w:val="22"/>
          <w:szCs w:val="22"/>
        </w:rPr>
        <w:t xml:space="preserve">an additional </w:t>
      </w:r>
      <w:r w:rsidRPr="00295ED8">
        <w:rPr>
          <w:rFonts w:asciiTheme="majorHAnsi" w:hAnsiTheme="majorHAnsi" w:cstheme="majorHAnsi"/>
          <w:sz w:val="22"/>
          <w:szCs w:val="22"/>
        </w:rPr>
        <w:t xml:space="preserve">effect of sorting young people from advantaged and disadvantaged backgrounds into separate schools, producing intense concentrations of disadvantage and exacerbating the negative impact of peer effects. </w:t>
      </w:r>
    </w:p>
    <w:p w14:paraId="7CA3C342" w14:textId="77777777" w:rsidR="00D85C76" w:rsidRPr="00295ED8" w:rsidRDefault="00D85C76" w:rsidP="0053128C">
      <w:pPr>
        <w:rPr>
          <w:rFonts w:asciiTheme="majorHAnsi" w:hAnsiTheme="majorHAnsi" w:cstheme="majorHAnsi"/>
          <w:sz w:val="22"/>
          <w:szCs w:val="22"/>
        </w:rPr>
      </w:pPr>
    </w:p>
    <w:p w14:paraId="1D8C151E" w14:textId="1583CEDD" w:rsidR="00720769" w:rsidRPr="00295ED8" w:rsidRDefault="00086919" w:rsidP="0053128C">
      <w:pPr>
        <w:rPr>
          <w:rFonts w:asciiTheme="majorHAnsi" w:hAnsiTheme="majorHAnsi" w:cstheme="majorHAnsi"/>
          <w:b/>
          <w:bCs/>
          <w:sz w:val="22"/>
          <w:szCs w:val="22"/>
        </w:rPr>
      </w:pPr>
      <w:r w:rsidRPr="00295ED8">
        <w:rPr>
          <w:rFonts w:asciiTheme="majorHAnsi" w:hAnsiTheme="majorHAnsi" w:cstheme="majorHAnsi"/>
          <w:b/>
          <w:bCs/>
          <w:sz w:val="22"/>
          <w:szCs w:val="22"/>
        </w:rPr>
        <w:t>Australia has one of the most segregated school systems in the OECD</w:t>
      </w:r>
      <w:r w:rsidR="00D15DB0" w:rsidRPr="00295ED8">
        <w:rPr>
          <w:rFonts w:asciiTheme="majorHAnsi" w:hAnsiTheme="majorHAnsi" w:cstheme="majorHAnsi"/>
          <w:b/>
          <w:bCs/>
          <w:sz w:val="22"/>
          <w:szCs w:val="22"/>
        </w:rPr>
        <w:t>, with more intense concentrations of social disadvantage than countries like Russia and Tunisia</w:t>
      </w:r>
      <w:r w:rsidR="009D3BE5" w:rsidRPr="00295ED8">
        <w:rPr>
          <w:rFonts w:asciiTheme="majorHAnsi" w:hAnsiTheme="majorHAnsi" w:cstheme="majorHAnsi"/>
          <w:b/>
          <w:bCs/>
          <w:sz w:val="22"/>
          <w:szCs w:val="22"/>
        </w:rPr>
        <w:t>.</w:t>
      </w:r>
      <w:r w:rsidR="009D3BE5" w:rsidRPr="00295ED8">
        <w:rPr>
          <w:rStyle w:val="EndnoteReference"/>
          <w:rFonts w:asciiTheme="majorHAnsi" w:hAnsiTheme="majorHAnsi" w:cstheme="majorHAnsi"/>
          <w:b/>
          <w:bCs/>
          <w:sz w:val="22"/>
          <w:szCs w:val="22"/>
        </w:rPr>
        <w:endnoteReference w:id="16"/>
      </w:r>
    </w:p>
    <w:p w14:paraId="489CCC07" w14:textId="77777777" w:rsidR="00720769" w:rsidRPr="00295ED8" w:rsidRDefault="00720769" w:rsidP="0053128C">
      <w:pPr>
        <w:rPr>
          <w:rFonts w:asciiTheme="majorHAnsi" w:hAnsiTheme="majorHAnsi" w:cstheme="majorHAnsi"/>
          <w:sz w:val="22"/>
          <w:szCs w:val="22"/>
        </w:rPr>
      </w:pPr>
    </w:p>
    <w:p w14:paraId="3EF024F2" w14:textId="77777777" w:rsidR="00D85C76" w:rsidRPr="00295ED8" w:rsidRDefault="00D85C76" w:rsidP="00D85C76">
      <w:pPr>
        <w:pStyle w:val="Heading4"/>
        <w:rPr>
          <w:rFonts w:cstheme="majorHAnsi"/>
        </w:rPr>
      </w:pPr>
      <w:r w:rsidRPr="00295ED8">
        <w:rPr>
          <w:rFonts w:cstheme="majorHAnsi"/>
        </w:rPr>
        <w:t xml:space="preserve">The impact of Government policies </w:t>
      </w:r>
    </w:p>
    <w:p w14:paraId="57588BD2" w14:textId="77777777" w:rsidR="00D85C76" w:rsidRPr="00295ED8" w:rsidRDefault="00D85C76" w:rsidP="00720769">
      <w:pPr>
        <w:rPr>
          <w:rFonts w:asciiTheme="majorHAnsi" w:hAnsiTheme="majorHAnsi" w:cstheme="majorHAnsi"/>
          <w:sz w:val="22"/>
          <w:szCs w:val="22"/>
        </w:rPr>
      </w:pPr>
    </w:p>
    <w:p w14:paraId="1DE68056" w14:textId="1DC63128" w:rsidR="00176E13" w:rsidRPr="00295ED8" w:rsidRDefault="00D15DB0" w:rsidP="00720769">
      <w:pPr>
        <w:rPr>
          <w:rFonts w:asciiTheme="majorHAnsi" w:hAnsiTheme="majorHAnsi" w:cstheme="majorHAnsi"/>
          <w:sz w:val="22"/>
          <w:szCs w:val="22"/>
        </w:rPr>
      </w:pPr>
      <w:r w:rsidRPr="00295ED8">
        <w:rPr>
          <w:rFonts w:asciiTheme="majorHAnsi" w:hAnsiTheme="majorHAnsi" w:cstheme="majorHAnsi"/>
          <w:sz w:val="22"/>
          <w:szCs w:val="22"/>
        </w:rPr>
        <w:t xml:space="preserve">Government policies are responsible for this phenomenon in three critical respects. </w:t>
      </w:r>
    </w:p>
    <w:p w14:paraId="359B7AC0" w14:textId="77777777" w:rsidR="00D85C76" w:rsidRPr="00295ED8" w:rsidRDefault="00FE0CFA" w:rsidP="00176E13">
      <w:pPr>
        <w:rPr>
          <w:rFonts w:asciiTheme="majorHAnsi" w:hAnsiTheme="majorHAnsi" w:cstheme="majorHAnsi"/>
          <w:sz w:val="22"/>
          <w:szCs w:val="22"/>
        </w:rPr>
      </w:pPr>
      <w:r w:rsidRPr="00295ED8">
        <w:rPr>
          <w:rFonts w:asciiTheme="majorHAnsi" w:hAnsiTheme="majorHAnsi" w:cstheme="majorHAnsi"/>
          <w:sz w:val="22"/>
          <w:szCs w:val="22"/>
        </w:rPr>
        <w:br/>
      </w:r>
      <w:r w:rsidR="00176E13" w:rsidRPr="00295ED8">
        <w:rPr>
          <w:rFonts w:asciiTheme="majorHAnsi" w:hAnsiTheme="majorHAnsi" w:cstheme="majorHAnsi"/>
          <w:sz w:val="22"/>
          <w:szCs w:val="22"/>
        </w:rPr>
        <w:t>Firstly, the effect of Commonwealth, state and territory government funding is to provide non-government schools with significant advantages in net recurrent income per student. This makes those schools more attractive to the families of advantaged and/or high performing students, pulling those students away from less well</w:t>
      </w:r>
      <w:r w:rsidR="00DF2F14" w:rsidRPr="00295ED8">
        <w:rPr>
          <w:rFonts w:asciiTheme="majorHAnsi" w:hAnsiTheme="majorHAnsi" w:cstheme="majorHAnsi"/>
          <w:sz w:val="22"/>
          <w:szCs w:val="22"/>
        </w:rPr>
        <w:t>-</w:t>
      </w:r>
      <w:r w:rsidR="00176E13" w:rsidRPr="00295ED8">
        <w:rPr>
          <w:rFonts w:asciiTheme="majorHAnsi" w:hAnsiTheme="majorHAnsi" w:cstheme="majorHAnsi"/>
          <w:sz w:val="22"/>
          <w:szCs w:val="22"/>
        </w:rPr>
        <w:t xml:space="preserve">resourced public schools. </w:t>
      </w:r>
    </w:p>
    <w:p w14:paraId="095DA96F" w14:textId="77777777" w:rsidR="00D85C76" w:rsidRPr="00295ED8" w:rsidRDefault="00D85C76" w:rsidP="00176E13">
      <w:pPr>
        <w:rPr>
          <w:rFonts w:asciiTheme="majorHAnsi" w:hAnsiTheme="majorHAnsi" w:cstheme="majorHAnsi"/>
          <w:sz w:val="22"/>
          <w:szCs w:val="22"/>
        </w:rPr>
      </w:pPr>
    </w:p>
    <w:p w14:paraId="359B2466" w14:textId="28C0D950" w:rsidR="00FE0CFA" w:rsidRPr="00295ED8" w:rsidRDefault="001E3DCB" w:rsidP="00176E13">
      <w:pPr>
        <w:rPr>
          <w:rFonts w:asciiTheme="majorHAnsi" w:hAnsiTheme="majorHAnsi" w:cstheme="majorHAnsi"/>
          <w:sz w:val="22"/>
          <w:szCs w:val="22"/>
        </w:rPr>
      </w:pPr>
      <w:r w:rsidRPr="00295ED8">
        <w:rPr>
          <w:rFonts w:asciiTheme="majorHAnsi" w:hAnsiTheme="majorHAnsi" w:cstheme="majorHAnsi"/>
          <w:sz w:val="22"/>
          <w:szCs w:val="22"/>
        </w:rPr>
        <w:t>Around one third of non-government schools receive more taxpayer funding (state and Commonwealth combined) than at least half of comparable public schools.</w:t>
      </w:r>
      <w:r w:rsidR="007734AC" w:rsidRPr="00295ED8">
        <w:rPr>
          <w:rStyle w:val="EndnoteReference"/>
          <w:rFonts w:asciiTheme="majorHAnsi" w:hAnsiTheme="majorHAnsi" w:cstheme="majorHAnsi"/>
          <w:sz w:val="22"/>
          <w:szCs w:val="22"/>
        </w:rPr>
        <w:endnoteReference w:id="17"/>
      </w:r>
      <w:r w:rsidRPr="00295ED8">
        <w:rPr>
          <w:rFonts w:asciiTheme="majorHAnsi" w:hAnsiTheme="majorHAnsi" w:cstheme="majorHAnsi"/>
          <w:sz w:val="22"/>
          <w:szCs w:val="22"/>
        </w:rPr>
        <w:t xml:space="preserve"> </w:t>
      </w:r>
      <w:r w:rsidR="00DD5219" w:rsidRPr="00295ED8">
        <w:rPr>
          <w:rFonts w:asciiTheme="majorHAnsi" w:hAnsiTheme="majorHAnsi" w:cstheme="majorHAnsi"/>
          <w:sz w:val="22"/>
          <w:szCs w:val="22"/>
        </w:rPr>
        <w:t xml:space="preserve">On average, net recurrent income per student is </w:t>
      </w:r>
      <w:r w:rsidR="00B950B8" w:rsidRPr="00295ED8">
        <w:rPr>
          <w:rFonts w:asciiTheme="majorHAnsi" w:hAnsiTheme="majorHAnsi" w:cstheme="majorHAnsi"/>
          <w:sz w:val="22"/>
          <w:szCs w:val="22"/>
        </w:rPr>
        <w:t xml:space="preserve">a third </w:t>
      </w:r>
      <w:r w:rsidR="00DD5219" w:rsidRPr="00295ED8">
        <w:rPr>
          <w:rFonts w:asciiTheme="majorHAnsi" w:hAnsiTheme="majorHAnsi" w:cstheme="majorHAnsi"/>
          <w:sz w:val="22"/>
          <w:szCs w:val="22"/>
        </w:rPr>
        <w:t>higher in independent schools. Catholic schools also enjoy an advantage despite enrolling a much lower proportion of disadvantaged students.</w:t>
      </w:r>
      <w:r w:rsidR="00B950B8" w:rsidRPr="00295ED8">
        <w:rPr>
          <w:rStyle w:val="EndnoteReference"/>
          <w:rFonts w:asciiTheme="majorHAnsi" w:hAnsiTheme="majorHAnsi" w:cstheme="majorHAnsi"/>
          <w:sz w:val="22"/>
          <w:szCs w:val="22"/>
        </w:rPr>
        <w:endnoteReference w:id="18"/>
      </w:r>
      <w:r w:rsidR="00DD5219" w:rsidRPr="00295ED8">
        <w:rPr>
          <w:rFonts w:asciiTheme="majorHAnsi" w:hAnsiTheme="majorHAnsi" w:cstheme="majorHAnsi"/>
          <w:sz w:val="22"/>
          <w:szCs w:val="22"/>
        </w:rPr>
        <w:t xml:space="preserve"> </w:t>
      </w:r>
    </w:p>
    <w:p w14:paraId="3128695A" w14:textId="77777777" w:rsidR="00A2044D" w:rsidRPr="00295ED8" w:rsidRDefault="00A2044D" w:rsidP="00FE0CFA">
      <w:pPr>
        <w:rPr>
          <w:rFonts w:asciiTheme="majorHAnsi" w:hAnsiTheme="majorHAnsi" w:cstheme="majorHAnsi"/>
          <w:b/>
          <w:bCs/>
          <w:sz w:val="22"/>
          <w:szCs w:val="22"/>
        </w:rPr>
      </w:pPr>
    </w:p>
    <w:p w14:paraId="27955712" w14:textId="440073BC" w:rsidR="00A2044D" w:rsidRPr="00295ED8" w:rsidRDefault="00A2044D" w:rsidP="00FE0CFA">
      <w:pPr>
        <w:rPr>
          <w:rFonts w:asciiTheme="majorHAnsi" w:hAnsiTheme="majorHAnsi" w:cstheme="majorHAnsi"/>
          <w:sz w:val="22"/>
          <w:szCs w:val="22"/>
        </w:rPr>
      </w:pPr>
      <w:r w:rsidRPr="00295ED8">
        <w:rPr>
          <w:rFonts w:asciiTheme="majorHAnsi" w:hAnsiTheme="majorHAnsi" w:cstheme="majorHAnsi"/>
          <w:sz w:val="22"/>
          <w:szCs w:val="22"/>
        </w:rPr>
        <w:t>Secondly, Australia is unusual internationally in permitting largely publicly funded non-government schools</w:t>
      </w:r>
      <w:r w:rsidR="00295ED8" w:rsidRPr="00295ED8">
        <w:rPr>
          <w:rFonts w:asciiTheme="majorHAnsi" w:hAnsiTheme="majorHAnsi" w:cstheme="majorHAnsi"/>
          <w:sz w:val="22"/>
          <w:szCs w:val="22"/>
        </w:rPr>
        <w:t xml:space="preserve"> the</w:t>
      </w:r>
      <w:r w:rsidRPr="00295ED8">
        <w:rPr>
          <w:rFonts w:asciiTheme="majorHAnsi" w:hAnsiTheme="majorHAnsi" w:cstheme="majorHAnsi"/>
          <w:sz w:val="22"/>
          <w:szCs w:val="22"/>
        </w:rPr>
        <w:t xml:space="preserve"> freedom to charge entry fees as they please. Fees are a significant barrier to entry for low-income families and this is reflected in the under-representation of low-income and disadvantaged students in non-government schools, </w:t>
      </w:r>
      <w:r w:rsidR="001E3DCB" w:rsidRPr="00295ED8">
        <w:rPr>
          <w:rFonts w:asciiTheme="majorHAnsi" w:hAnsiTheme="majorHAnsi" w:cstheme="majorHAnsi"/>
          <w:sz w:val="22"/>
          <w:szCs w:val="22"/>
        </w:rPr>
        <w:t>as well as</w:t>
      </w:r>
      <w:r w:rsidRPr="00295ED8">
        <w:rPr>
          <w:rFonts w:asciiTheme="majorHAnsi" w:hAnsiTheme="majorHAnsi" w:cstheme="majorHAnsi"/>
          <w:sz w:val="22"/>
          <w:szCs w:val="22"/>
        </w:rPr>
        <w:t xml:space="preserve"> the corresponding over-representation of those students in free, comprehensive public schools.</w:t>
      </w:r>
      <w:r w:rsidR="00D70C64" w:rsidRPr="00295ED8">
        <w:rPr>
          <w:rStyle w:val="EndnoteReference"/>
          <w:rFonts w:asciiTheme="majorHAnsi" w:hAnsiTheme="majorHAnsi" w:cstheme="majorHAnsi"/>
          <w:sz w:val="22"/>
          <w:szCs w:val="22"/>
        </w:rPr>
        <w:endnoteReference w:id="19"/>
      </w:r>
      <w:r w:rsidRPr="00295ED8">
        <w:rPr>
          <w:rFonts w:asciiTheme="majorHAnsi" w:hAnsiTheme="majorHAnsi" w:cstheme="majorHAnsi"/>
          <w:sz w:val="22"/>
          <w:szCs w:val="22"/>
        </w:rPr>
        <w:t xml:space="preserve"> </w:t>
      </w:r>
    </w:p>
    <w:p w14:paraId="53D32EF1" w14:textId="67BCA4FF" w:rsidR="00A2044D" w:rsidRPr="00295ED8" w:rsidRDefault="00A2044D" w:rsidP="00FE0CFA">
      <w:pPr>
        <w:rPr>
          <w:rFonts w:asciiTheme="majorHAnsi" w:hAnsiTheme="majorHAnsi" w:cstheme="majorHAnsi"/>
          <w:sz w:val="22"/>
          <w:szCs w:val="22"/>
        </w:rPr>
      </w:pPr>
    </w:p>
    <w:p w14:paraId="1477FC67" w14:textId="77777777" w:rsidR="00295ED8" w:rsidRPr="00295ED8" w:rsidRDefault="001E3DCB" w:rsidP="00FE0CFA">
      <w:pPr>
        <w:rPr>
          <w:rFonts w:asciiTheme="majorHAnsi" w:hAnsiTheme="majorHAnsi" w:cstheme="majorHAnsi"/>
          <w:sz w:val="22"/>
          <w:szCs w:val="22"/>
        </w:rPr>
      </w:pPr>
      <w:r w:rsidRPr="00295ED8">
        <w:rPr>
          <w:rFonts w:asciiTheme="majorHAnsi" w:hAnsiTheme="majorHAnsi" w:cstheme="majorHAnsi"/>
          <w:sz w:val="22"/>
          <w:szCs w:val="22"/>
        </w:rPr>
        <w:lastRenderedPageBreak/>
        <w:t xml:space="preserve">Government policies have actively exacerbated the role of fees in excluding low-income students from non-government schools. </w:t>
      </w:r>
      <w:r w:rsidR="00A2044D" w:rsidRPr="00295ED8">
        <w:rPr>
          <w:rFonts w:asciiTheme="majorHAnsi" w:hAnsiTheme="majorHAnsi" w:cstheme="majorHAnsi"/>
          <w:sz w:val="22"/>
          <w:szCs w:val="22"/>
        </w:rPr>
        <w:t xml:space="preserve">At the start of this century, </w:t>
      </w:r>
      <w:r w:rsidRPr="00295ED8">
        <w:rPr>
          <w:rFonts w:asciiTheme="majorHAnsi" w:hAnsiTheme="majorHAnsi" w:cstheme="majorHAnsi"/>
          <w:sz w:val="22"/>
          <w:szCs w:val="22"/>
        </w:rPr>
        <w:t xml:space="preserve">the </w:t>
      </w:r>
      <w:r w:rsidR="00A01B9B" w:rsidRPr="00295ED8">
        <w:rPr>
          <w:rFonts w:asciiTheme="majorHAnsi" w:hAnsiTheme="majorHAnsi" w:cstheme="majorHAnsi"/>
          <w:sz w:val="22"/>
          <w:szCs w:val="22"/>
        </w:rPr>
        <w:t xml:space="preserve">calculation of funding levels for non-government schools shifted from a measure of actual school income to a measure of parental capacity to pay. The explicit purpose of this shift was to allow non-government schools to increase fees </w:t>
      </w:r>
      <w:r w:rsidR="00083C62" w:rsidRPr="00295ED8">
        <w:rPr>
          <w:rFonts w:asciiTheme="majorHAnsi" w:hAnsiTheme="majorHAnsi" w:cstheme="majorHAnsi"/>
          <w:sz w:val="22"/>
          <w:szCs w:val="22"/>
        </w:rPr>
        <w:t>–</w:t>
      </w:r>
      <w:r w:rsidR="00A01B9B" w:rsidRPr="00295ED8">
        <w:rPr>
          <w:rFonts w:asciiTheme="majorHAnsi" w:hAnsiTheme="majorHAnsi" w:cstheme="majorHAnsi"/>
          <w:sz w:val="22"/>
          <w:szCs w:val="22"/>
        </w:rPr>
        <w:t xml:space="preserve"> as high as the market would bear </w:t>
      </w:r>
      <w:r w:rsidR="00083C62" w:rsidRPr="00295ED8">
        <w:rPr>
          <w:rFonts w:asciiTheme="majorHAnsi" w:hAnsiTheme="majorHAnsi" w:cstheme="majorHAnsi"/>
          <w:sz w:val="22"/>
          <w:szCs w:val="22"/>
        </w:rPr>
        <w:t>–</w:t>
      </w:r>
      <w:r w:rsidR="00A01B9B" w:rsidRPr="00295ED8">
        <w:rPr>
          <w:rFonts w:asciiTheme="majorHAnsi" w:hAnsiTheme="majorHAnsi" w:cstheme="majorHAnsi"/>
          <w:sz w:val="22"/>
          <w:szCs w:val="22"/>
        </w:rPr>
        <w:t xml:space="preserve"> without losing public funding as a</w:t>
      </w:r>
      <w:r w:rsidRPr="00295ED8">
        <w:rPr>
          <w:rFonts w:asciiTheme="majorHAnsi" w:hAnsiTheme="majorHAnsi" w:cstheme="majorHAnsi"/>
          <w:sz w:val="22"/>
          <w:szCs w:val="22"/>
        </w:rPr>
        <w:t xml:space="preserve"> </w:t>
      </w:r>
      <w:r w:rsidR="00A01B9B" w:rsidRPr="00295ED8">
        <w:rPr>
          <w:rFonts w:asciiTheme="majorHAnsi" w:hAnsiTheme="majorHAnsi" w:cstheme="majorHAnsi"/>
          <w:sz w:val="22"/>
          <w:szCs w:val="22"/>
        </w:rPr>
        <w:t>consequence.</w:t>
      </w:r>
      <w:r w:rsidR="00C372A5" w:rsidRPr="00295ED8">
        <w:rPr>
          <w:rStyle w:val="EndnoteReference"/>
          <w:rFonts w:asciiTheme="majorHAnsi" w:hAnsiTheme="majorHAnsi" w:cstheme="majorHAnsi"/>
          <w:sz w:val="22"/>
          <w:szCs w:val="22"/>
        </w:rPr>
        <w:endnoteReference w:id="20"/>
      </w:r>
      <w:r w:rsidR="00A01B9B" w:rsidRPr="00295ED8">
        <w:rPr>
          <w:rFonts w:asciiTheme="majorHAnsi" w:hAnsiTheme="majorHAnsi" w:cstheme="majorHAnsi"/>
          <w:sz w:val="22"/>
          <w:szCs w:val="22"/>
        </w:rPr>
        <w:t xml:space="preserve"> </w:t>
      </w:r>
    </w:p>
    <w:p w14:paraId="4B6F877A" w14:textId="77777777" w:rsidR="00295ED8" w:rsidRPr="00295ED8" w:rsidRDefault="00295ED8" w:rsidP="00FE0CFA">
      <w:pPr>
        <w:rPr>
          <w:rFonts w:asciiTheme="majorHAnsi" w:hAnsiTheme="majorHAnsi" w:cstheme="majorHAnsi"/>
          <w:sz w:val="22"/>
          <w:szCs w:val="22"/>
        </w:rPr>
      </w:pPr>
    </w:p>
    <w:p w14:paraId="4B12B57C" w14:textId="5A1AA66D" w:rsidR="00A2044D" w:rsidRPr="00295ED8" w:rsidRDefault="001E3DCB" w:rsidP="00FE0CFA">
      <w:pPr>
        <w:rPr>
          <w:rFonts w:asciiTheme="majorHAnsi" w:hAnsiTheme="majorHAnsi" w:cstheme="majorHAnsi"/>
          <w:b/>
          <w:bCs/>
          <w:sz w:val="22"/>
          <w:szCs w:val="22"/>
        </w:rPr>
      </w:pPr>
      <w:r w:rsidRPr="00295ED8">
        <w:rPr>
          <w:rFonts w:asciiTheme="majorHAnsi" w:hAnsiTheme="majorHAnsi" w:cstheme="majorHAnsi"/>
          <w:b/>
          <w:bCs/>
          <w:sz w:val="22"/>
          <w:szCs w:val="22"/>
        </w:rPr>
        <w:t>The policy has succeeded in it its intent: for the last two decades private school fees have consistently grown at a faster rate than CPI and the Education and Training Wage Price Index.</w:t>
      </w:r>
      <w:r w:rsidR="00643080" w:rsidRPr="00295ED8">
        <w:rPr>
          <w:rStyle w:val="EndnoteReference"/>
          <w:rFonts w:asciiTheme="majorHAnsi" w:hAnsiTheme="majorHAnsi" w:cstheme="majorHAnsi"/>
          <w:b/>
          <w:bCs/>
          <w:sz w:val="22"/>
          <w:szCs w:val="22"/>
        </w:rPr>
        <w:endnoteReference w:id="21"/>
      </w:r>
      <w:r w:rsidRPr="00295ED8">
        <w:rPr>
          <w:rFonts w:asciiTheme="majorHAnsi" w:hAnsiTheme="majorHAnsi" w:cstheme="majorHAnsi"/>
          <w:b/>
          <w:bCs/>
          <w:sz w:val="22"/>
          <w:szCs w:val="22"/>
        </w:rPr>
        <w:t xml:space="preserve"> The </w:t>
      </w:r>
      <w:r w:rsidR="00CB7080" w:rsidRPr="00295ED8">
        <w:rPr>
          <w:rFonts w:asciiTheme="majorHAnsi" w:hAnsiTheme="majorHAnsi" w:cstheme="majorHAnsi"/>
          <w:b/>
          <w:bCs/>
          <w:sz w:val="22"/>
          <w:szCs w:val="22"/>
        </w:rPr>
        <w:t>result has been to intensify concentrations of social disadvantage in free, comprehensive schools where the challenges of negative peer effects are correspondingly greater.</w:t>
      </w:r>
      <w:r w:rsidR="00407139" w:rsidRPr="00295ED8">
        <w:rPr>
          <w:rStyle w:val="EndnoteReference"/>
          <w:rFonts w:asciiTheme="majorHAnsi" w:hAnsiTheme="majorHAnsi" w:cstheme="majorHAnsi"/>
          <w:b/>
          <w:bCs/>
          <w:sz w:val="22"/>
          <w:szCs w:val="22"/>
        </w:rPr>
        <w:endnoteReference w:id="22"/>
      </w:r>
      <w:r w:rsidR="00CB7080" w:rsidRPr="00295ED8">
        <w:rPr>
          <w:rFonts w:asciiTheme="majorHAnsi" w:hAnsiTheme="majorHAnsi" w:cstheme="majorHAnsi"/>
          <w:b/>
          <w:bCs/>
          <w:sz w:val="22"/>
          <w:szCs w:val="22"/>
        </w:rPr>
        <w:t xml:space="preserve"> </w:t>
      </w:r>
    </w:p>
    <w:p w14:paraId="79E0AA1E" w14:textId="77777777" w:rsidR="00A2044D" w:rsidRPr="00295ED8" w:rsidRDefault="00A2044D" w:rsidP="00FE0CFA">
      <w:pPr>
        <w:rPr>
          <w:rFonts w:asciiTheme="majorHAnsi" w:hAnsiTheme="majorHAnsi" w:cstheme="majorHAnsi"/>
          <w:sz w:val="22"/>
          <w:szCs w:val="22"/>
        </w:rPr>
      </w:pPr>
    </w:p>
    <w:p w14:paraId="5F652729" w14:textId="5A41B576" w:rsidR="00295ED8" w:rsidRPr="00295ED8" w:rsidRDefault="00A2044D" w:rsidP="0053128C">
      <w:pPr>
        <w:rPr>
          <w:rFonts w:asciiTheme="majorHAnsi" w:hAnsiTheme="majorHAnsi" w:cstheme="majorHAnsi"/>
          <w:sz w:val="22"/>
          <w:szCs w:val="22"/>
        </w:rPr>
      </w:pPr>
      <w:r w:rsidRPr="00295ED8">
        <w:rPr>
          <w:rFonts w:asciiTheme="majorHAnsi" w:hAnsiTheme="majorHAnsi" w:cstheme="majorHAnsi"/>
          <w:sz w:val="22"/>
          <w:szCs w:val="22"/>
        </w:rPr>
        <w:t xml:space="preserve">Thirdly, Australia is also internationally unusual in permitting largely publicly funded non-government schools almost complete autonomy over enrolment practices. Selective tests and entrance criteria, as well as expulsion policies, are additional mechanisms of exclusion for disadvantaged and/or low achieving young people. </w:t>
      </w:r>
      <w:r w:rsidR="00CB7080" w:rsidRPr="00295ED8">
        <w:rPr>
          <w:rFonts w:asciiTheme="majorHAnsi" w:hAnsiTheme="majorHAnsi" w:cstheme="majorHAnsi"/>
          <w:sz w:val="22"/>
          <w:szCs w:val="22"/>
        </w:rPr>
        <w:t xml:space="preserve">In addition, fully or partially selective public schools, particularly in New South Wales, enrol a disproportionate number of advantaged students, increasing the proportion of disadvantaged students in comprehensive schools. </w:t>
      </w:r>
      <w:r w:rsidR="00FE0CFA" w:rsidRPr="00295ED8">
        <w:rPr>
          <w:rFonts w:asciiTheme="majorHAnsi" w:hAnsiTheme="majorHAnsi" w:cstheme="majorHAnsi"/>
          <w:i/>
          <w:iCs/>
          <w:sz w:val="22"/>
          <w:szCs w:val="22"/>
        </w:rPr>
        <w:br/>
      </w:r>
      <w:r w:rsidR="00FE0CFA" w:rsidRPr="00295ED8">
        <w:rPr>
          <w:rFonts w:asciiTheme="majorHAnsi" w:hAnsiTheme="majorHAnsi" w:cstheme="majorHAnsi"/>
          <w:i/>
          <w:iCs/>
          <w:sz w:val="22"/>
          <w:szCs w:val="22"/>
        </w:rPr>
        <w:br/>
      </w:r>
      <w:r w:rsidR="00CB7080" w:rsidRPr="00295ED8">
        <w:rPr>
          <w:rFonts w:asciiTheme="majorHAnsi" w:hAnsiTheme="majorHAnsi" w:cstheme="majorHAnsi"/>
          <w:sz w:val="22"/>
          <w:szCs w:val="22"/>
        </w:rPr>
        <w:t xml:space="preserve">The effect of taxpayer-fuelled resource advantages, ever-increasing fees and exclusive enrolment practices can be seen in the divergence between the socio-economic character of government and non-government schools in recent decades. </w:t>
      </w:r>
    </w:p>
    <w:p w14:paraId="70028294" w14:textId="77777777" w:rsidR="00295ED8" w:rsidRPr="00295ED8" w:rsidRDefault="00295ED8" w:rsidP="0053128C">
      <w:pPr>
        <w:rPr>
          <w:rFonts w:asciiTheme="majorHAnsi" w:hAnsiTheme="majorHAnsi" w:cstheme="majorHAnsi"/>
          <w:sz w:val="22"/>
          <w:szCs w:val="22"/>
        </w:rPr>
      </w:pPr>
    </w:p>
    <w:p w14:paraId="37BE28EB" w14:textId="469C29F5" w:rsidR="0053128C" w:rsidRPr="00295ED8" w:rsidRDefault="0053128C" w:rsidP="0053128C">
      <w:pPr>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The following graph shows the ratios of low/high family income in government and non-government schools for all secondary schools in each census year 1986 to 2016. There is a clear family income divergence between, in this case, Australian public and private schools. </w:t>
      </w:r>
    </w:p>
    <w:p w14:paraId="6E6EE846" w14:textId="77777777" w:rsidR="00316EAE" w:rsidRPr="00BA0A75" w:rsidRDefault="00316EAE" w:rsidP="0053128C">
      <w:pPr>
        <w:rPr>
          <w:rFonts w:asciiTheme="minorHAnsi" w:hAnsiTheme="minorHAnsi" w:cstheme="minorHAnsi"/>
          <w:color w:val="000000"/>
        </w:rPr>
      </w:pPr>
    </w:p>
    <w:p w14:paraId="1534837C" w14:textId="77777777" w:rsidR="0053128C" w:rsidRPr="00BA0A75" w:rsidRDefault="0053128C" w:rsidP="0053128C">
      <w:pPr>
        <w:rPr>
          <w:rFonts w:asciiTheme="minorHAnsi" w:hAnsiTheme="minorHAnsi" w:cstheme="minorHAnsi"/>
          <w:i/>
          <w:iCs/>
          <w:color w:val="000000"/>
        </w:rPr>
      </w:pPr>
      <w:r w:rsidRPr="00BA0A75">
        <w:rPr>
          <w:rFonts w:asciiTheme="minorHAnsi" w:hAnsiTheme="minorHAnsi" w:cstheme="minorHAnsi"/>
          <w:noProof/>
          <w:color w:val="000000"/>
          <w:bdr w:val="none" w:sz="0" w:space="0" w:color="auto" w:frame="1"/>
        </w:rPr>
        <w:drawing>
          <wp:inline distT="0" distB="0" distL="0" distR="0" wp14:anchorId="697624C6" wp14:editId="746DA933">
            <wp:extent cx="3803644" cy="2854325"/>
            <wp:effectExtent l="0" t="0" r="6985" b="3175"/>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4676" cy="2862603"/>
                    </a:xfrm>
                    <a:prstGeom prst="rect">
                      <a:avLst/>
                    </a:prstGeom>
                    <a:noFill/>
                    <a:ln>
                      <a:noFill/>
                    </a:ln>
                  </pic:spPr>
                </pic:pic>
              </a:graphicData>
            </a:graphic>
          </wp:inline>
        </w:drawing>
      </w:r>
    </w:p>
    <w:p w14:paraId="1AA4E3CC" w14:textId="77777777" w:rsidR="0053128C" w:rsidRPr="000339A3" w:rsidRDefault="0053128C" w:rsidP="0053128C">
      <w:pPr>
        <w:pStyle w:val="NormalWeb"/>
        <w:spacing w:before="0" w:beforeAutospacing="0" w:after="0" w:afterAutospacing="0"/>
        <w:rPr>
          <w:rFonts w:asciiTheme="minorHAnsi" w:hAnsiTheme="minorHAnsi" w:cstheme="minorHAnsi"/>
          <w:color w:val="000000"/>
          <w:sz w:val="22"/>
          <w:szCs w:val="22"/>
        </w:rPr>
      </w:pPr>
      <w:r w:rsidRPr="000339A3">
        <w:rPr>
          <w:rFonts w:asciiTheme="minorHAnsi" w:hAnsiTheme="minorHAnsi" w:cstheme="minorHAnsi"/>
          <w:color w:val="000000"/>
          <w:sz w:val="22"/>
          <w:szCs w:val="22"/>
        </w:rPr>
        <w:t>Source: Preston B (2018), ‘The social make-up of schools’</w:t>
      </w:r>
    </w:p>
    <w:p w14:paraId="42C3C1FB" w14:textId="77777777" w:rsidR="0053128C" w:rsidRPr="000339A3" w:rsidRDefault="0053128C" w:rsidP="0053128C">
      <w:pPr>
        <w:pStyle w:val="NormalWeb"/>
        <w:spacing w:before="0" w:beforeAutospacing="0" w:after="0" w:afterAutospacing="0"/>
        <w:rPr>
          <w:rFonts w:asciiTheme="minorHAnsi" w:hAnsiTheme="minorHAnsi" w:cstheme="minorHAnsi"/>
          <w:color w:val="000000"/>
          <w:sz w:val="22"/>
          <w:szCs w:val="22"/>
        </w:rPr>
      </w:pPr>
    </w:p>
    <w:p w14:paraId="77ADDCE1" w14:textId="77777777" w:rsidR="00295ED8" w:rsidRDefault="0053128C" w:rsidP="00CB7080">
      <w:pPr>
        <w:pStyle w:val="NormalWeb"/>
        <w:spacing w:before="0" w:beforeAutospacing="0" w:after="0" w:afterAutospacing="0"/>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These trends are significant for two reasons. </w:t>
      </w:r>
    </w:p>
    <w:p w14:paraId="5D8F70EB" w14:textId="77777777" w:rsidR="00295ED8" w:rsidRDefault="00295ED8" w:rsidP="00CB7080">
      <w:pPr>
        <w:pStyle w:val="NormalWeb"/>
        <w:spacing w:before="0" w:beforeAutospacing="0" w:after="0" w:afterAutospacing="0"/>
        <w:rPr>
          <w:rFonts w:asciiTheme="majorHAnsi" w:hAnsiTheme="majorHAnsi" w:cstheme="majorHAnsi"/>
          <w:color w:val="000000"/>
          <w:sz w:val="22"/>
          <w:szCs w:val="22"/>
        </w:rPr>
      </w:pPr>
    </w:p>
    <w:p w14:paraId="0D5C7862" w14:textId="77777777" w:rsidR="00295ED8" w:rsidRDefault="0053128C" w:rsidP="00CB7080">
      <w:pPr>
        <w:pStyle w:val="NormalWeb"/>
        <w:spacing w:before="0" w:beforeAutospacing="0" w:after="0" w:afterAutospacing="0"/>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Firstly, in family income terms, one sector is shedding, and the other accumulating, a more advantaged enrolment. While not shown on the graph, enrolments in the public sector were increasingly comprising disadvantaged cohorts; enrolled students were increasingly in a class of their own disadvantaged peers. </w:t>
      </w:r>
    </w:p>
    <w:p w14:paraId="289E7F3D" w14:textId="62EBDBCF" w:rsidR="00E2692B" w:rsidRPr="00295ED8" w:rsidRDefault="0053128C" w:rsidP="00CB7080">
      <w:pPr>
        <w:pStyle w:val="NormalWeb"/>
        <w:spacing w:before="0" w:beforeAutospacing="0" w:after="0" w:afterAutospacing="0"/>
        <w:rPr>
          <w:rFonts w:asciiTheme="majorHAnsi" w:hAnsiTheme="majorHAnsi" w:cstheme="majorHAnsi"/>
          <w:sz w:val="22"/>
          <w:szCs w:val="22"/>
        </w:rPr>
      </w:pPr>
      <w:r w:rsidRPr="00295ED8">
        <w:rPr>
          <w:rFonts w:asciiTheme="majorHAnsi" w:hAnsiTheme="majorHAnsi" w:cstheme="majorHAnsi"/>
          <w:color w:val="000000"/>
          <w:sz w:val="22"/>
          <w:szCs w:val="22"/>
        </w:rPr>
        <w:lastRenderedPageBreak/>
        <w:t>Secondly, it helps explain why</w:t>
      </w:r>
      <w:r w:rsidR="00CB7080" w:rsidRPr="00295ED8">
        <w:rPr>
          <w:rFonts w:asciiTheme="majorHAnsi" w:hAnsiTheme="majorHAnsi" w:cstheme="majorHAnsi"/>
          <w:color w:val="000000"/>
          <w:sz w:val="22"/>
          <w:szCs w:val="22"/>
        </w:rPr>
        <w:t xml:space="preserve"> </w:t>
      </w:r>
      <w:r w:rsidRPr="00295ED8">
        <w:rPr>
          <w:rFonts w:asciiTheme="majorHAnsi" w:hAnsiTheme="majorHAnsi" w:cstheme="majorHAnsi"/>
          <w:color w:val="000000"/>
          <w:sz w:val="22"/>
          <w:szCs w:val="22"/>
        </w:rPr>
        <w:t xml:space="preserve">peer impacts seemed to be having a telling effect in different ways on high and low SES schools - and may </w:t>
      </w:r>
      <w:r w:rsidR="00CB7080" w:rsidRPr="00295ED8">
        <w:rPr>
          <w:rFonts w:asciiTheme="majorHAnsi" w:hAnsiTheme="majorHAnsi" w:cstheme="majorHAnsi"/>
          <w:color w:val="000000"/>
          <w:sz w:val="22"/>
          <w:szCs w:val="22"/>
        </w:rPr>
        <w:t xml:space="preserve">be </w:t>
      </w:r>
      <w:r w:rsidRPr="00295ED8">
        <w:rPr>
          <w:rFonts w:asciiTheme="majorHAnsi" w:hAnsiTheme="majorHAnsi" w:cstheme="majorHAnsi"/>
          <w:color w:val="000000"/>
          <w:sz w:val="22"/>
          <w:szCs w:val="22"/>
        </w:rPr>
        <w:t xml:space="preserve">contributing to the overall achievement declines </w:t>
      </w:r>
      <w:r w:rsidR="00CB7080" w:rsidRPr="00295ED8">
        <w:rPr>
          <w:rFonts w:asciiTheme="majorHAnsi" w:hAnsiTheme="majorHAnsi" w:cstheme="majorHAnsi"/>
          <w:color w:val="000000"/>
          <w:sz w:val="22"/>
          <w:szCs w:val="22"/>
        </w:rPr>
        <w:t>in Australian schooling</w:t>
      </w:r>
      <w:r w:rsidRPr="00295ED8">
        <w:rPr>
          <w:rFonts w:asciiTheme="majorHAnsi" w:hAnsiTheme="majorHAnsi" w:cstheme="majorHAnsi"/>
          <w:color w:val="000000"/>
          <w:sz w:val="22"/>
          <w:szCs w:val="22"/>
        </w:rPr>
        <w:t xml:space="preserve">.   </w:t>
      </w:r>
    </w:p>
    <w:p w14:paraId="2215F941" w14:textId="77777777" w:rsidR="00DD0602" w:rsidRPr="00295ED8" w:rsidRDefault="00DD0602" w:rsidP="00C35ADB">
      <w:pPr>
        <w:rPr>
          <w:rFonts w:asciiTheme="majorHAnsi" w:hAnsiTheme="majorHAnsi" w:cstheme="majorHAnsi"/>
          <w:sz w:val="22"/>
          <w:szCs w:val="22"/>
        </w:rPr>
      </w:pPr>
    </w:p>
    <w:p w14:paraId="43D758E4" w14:textId="5561C02A" w:rsidR="00C35ADB" w:rsidRPr="00734CA7" w:rsidRDefault="00C35ADB" w:rsidP="00C35ADB">
      <w:pPr>
        <w:rPr>
          <w:rFonts w:asciiTheme="majorHAnsi" w:hAnsiTheme="majorHAnsi" w:cstheme="majorHAnsi"/>
          <w:color w:val="4383A9"/>
          <w:sz w:val="22"/>
          <w:szCs w:val="22"/>
        </w:rPr>
      </w:pPr>
      <w:r w:rsidRPr="00734CA7">
        <w:rPr>
          <w:rFonts w:asciiTheme="majorHAnsi" w:hAnsiTheme="majorHAnsi" w:cstheme="majorHAnsi"/>
          <w:color w:val="4383A9"/>
          <w:sz w:val="22"/>
          <w:szCs w:val="22"/>
        </w:rPr>
        <w:t xml:space="preserve">Are there barriers that disproportionately impact outcomes for specific cohorts of students? </w:t>
      </w:r>
    </w:p>
    <w:p w14:paraId="00F7E279" w14:textId="77777777" w:rsidR="00BA0A75" w:rsidRPr="00734CA7" w:rsidRDefault="00BA0A75" w:rsidP="00963EE0">
      <w:pPr>
        <w:rPr>
          <w:rFonts w:asciiTheme="majorHAnsi" w:hAnsiTheme="majorHAnsi" w:cstheme="majorHAnsi"/>
          <w:color w:val="4383A9"/>
          <w:sz w:val="22"/>
          <w:szCs w:val="22"/>
        </w:rPr>
      </w:pPr>
    </w:p>
    <w:p w14:paraId="715D4B3D" w14:textId="185495C0" w:rsidR="00E2692B" w:rsidRPr="00295ED8" w:rsidRDefault="008F4935" w:rsidP="008F4935">
      <w:pPr>
        <w:rPr>
          <w:rFonts w:asciiTheme="majorHAnsi" w:hAnsiTheme="majorHAnsi" w:cstheme="majorHAnsi"/>
          <w:sz w:val="22"/>
          <w:szCs w:val="22"/>
        </w:rPr>
      </w:pPr>
      <w:r w:rsidRPr="00295ED8">
        <w:rPr>
          <w:rFonts w:asciiTheme="majorHAnsi" w:hAnsiTheme="majorHAnsi" w:cstheme="majorHAnsi"/>
          <w:sz w:val="22"/>
          <w:szCs w:val="22"/>
        </w:rPr>
        <w:t>Disadvantaged students are disproportionately impacted by the socio-economic segregation</w:t>
      </w:r>
      <w:r w:rsidR="00882847" w:rsidRPr="00295ED8">
        <w:rPr>
          <w:rFonts w:asciiTheme="majorHAnsi" w:hAnsiTheme="majorHAnsi" w:cstheme="majorHAnsi"/>
          <w:sz w:val="22"/>
          <w:szCs w:val="22"/>
        </w:rPr>
        <w:t>, and associated negative peer effects,</w:t>
      </w:r>
      <w:r w:rsidRPr="00295ED8">
        <w:rPr>
          <w:rFonts w:asciiTheme="majorHAnsi" w:hAnsiTheme="majorHAnsi" w:cstheme="majorHAnsi"/>
          <w:sz w:val="22"/>
          <w:szCs w:val="22"/>
        </w:rPr>
        <w:t xml:space="preserve"> apparent in the Australian school system. This is illustrated in the evidence presented above, i</w:t>
      </w:r>
      <w:r w:rsidR="00692A69" w:rsidRPr="00295ED8">
        <w:rPr>
          <w:rFonts w:asciiTheme="majorHAnsi" w:hAnsiTheme="majorHAnsi" w:cstheme="majorHAnsi"/>
          <w:sz w:val="22"/>
          <w:szCs w:val="22"/>
        </w:rPr>
        <w:t>ncluding data from NAPLAN and PISA tests, as well as other measures. On average, three years of learning separates the most advantaged and disadvantaged students in Australian schools.</w:t>
      </w:r>
      <w:r w:rsidR="008662CF" w:rsidRPr="00295ED8">
        <w:rPr>
          <w:rStyle w:val="EndnoteReference"/>
          <w:rFonts w:asciiTheme="majorHAnsi" w:hAnsiTheme="majorHAnsi" w:cstheme="majorHAnsi"/>
          <w:sz w:val="22"/>
          <w:szCs w:val="22"/>
        </w:rPr>
        <w:endnoteReference w:id="23"/>
      </w:r>
      <w:r w:rsidR="00692A69" w:rsidRPr="00295ED8">
        <w:rPr>
          <w:rFonts w:asciiTheme="majorHAnsi" w:hAnsiTheme="majorHAnsi" w:cstheme="majorHAnsi"/>
          <w:sz w:val="22"/>
          <w:szCs w:val="22"/>
        </w:rPr>
        <w:t xml:space="preserve"> </w:t>
      </w:r>
    </w:p>
    <w:p w14:paraId="70F28A5B" w14:textId="23B2C364" w:rsidR="00692A69" w:rsidRPr="00295ED8" w:rsidRDefault="00692A69" w:rsidP="008F4935">
      <w:pPr>
        <w:rPr>
          <w:rFonts w:asciiTheme="majorHAnsi" w:hAnsiTheme="majorHAnsi" w:cstheme="majorHAnsi"/>
          <w:sz w:val="22"/>
          <w:szCs w:val="22"/>
        </w:rPr>
      </w:pPr>
    </w:p>
    <w:p w14:paraId="020443CA" w14:textId="77777777" w:rsidR="00295ED8" w:rsidRDefault="00EC0D2F" w:rsidP="00FA6A5C">
      <w:pPr>
        <w:rPr>
          <w:rFonts w:asciiTheme="majorHAnsi" w:hAnsiTheme="majorHAnsi" w:cstheme="majorHAnsi"/>
          <w:sz w:val="22"/>
          <w:szCs w:val="22"/>
        </w:rPr>
      </w:pPr>
      <w:r w:rsidRPr="00295ED8">
        <w:rPr>
          <w:rFonts w:asciiTheme="majorHAnsi" w:hAnsiTheme="majorHAnsi" w:cstheme="majorHAnsi"/>
          <w:sz w:val="22"/>
          <w:szCs w:val="22"/>
        </w:rPr>
        <w:t>While students in high-ICSEA schools disproportionately benefit from positive peer effects</w:t>
      </w:r>
      <w:r w:rsidR="00692A69" w:rsidRPr="00295ED8">
        <w:rPr>
          <w:rFonts w:asciiTheme="majorHAnsi" w:hAnsiTheme="majorHAnsi" w:cstheme="majorHAnsi"/>
          <w:sz w:val="22"/>
          <w:szCs w:val="22"/>
        </w:rPr>
        <w:t xml:space="preserve">, there is </w:t>
      </w:r>
      <w:r w:rsidR="00756049" w:rsidRPr="00295ED8">
        <w:rPr>
          <w:rFonts w:asciiTheme="majorHAnsi" w:hAnsiTheme="majorHAnsi" w:cstheme="majorHAnsi"/>
          <w:sz w:val="22"/>
          <w:szCs w:val="22"/>
        </w:rPr>
        <w:t>also evidence of significant declines in student achievement amongst high-performers and advantaged students.</w:t>
      </w:r>
      <w:r w:rsidRPr="00295ED8">
        <w:rPr>
          <w:rStyle w:val="EndnoteReference"/>
          <w:rFonts w:asciiTheme="majorHAnsi" w:hAnsiTheme="majorHAnsi" w:cstheme="majorHAnsi"/>
          <w:sz w:val="22"/>
          <w:szCs w:val="22"/>
        </w:rPr>
        <w:endnoteReference w:id="24"/>
      </w:r>
      <w:r w:rsidR="00756049" w:rsidRPr="00295ED8">
        <w:rPr>
          <w:rFonts w:asciiTheme="majorHAnsi" w:hAnsiTheme="majorHAnsi" w:cstheme="majorHAnsi"/>
          <w:sz w:val="22"/>
          <w:szCs w:val="22"/>
        </w:rPr>
        <w:t xml:space="preserve"> </w:t>
      </w:r>
    </w:p>
    <w:p w14:paraId="0FA37C8B" w14:textId="77777777" w:rsidR="00295ED8" w:rsidRDefault="00295ED8" w:rsidP="00FA6A5C">
      <w:pPr>
        <w:rPr>
          <w:rFonts w:asciiTheme="majorHAnsi" w:hAnsiTheme="majorHAnsi" w:cstheme="majorHAnsi"/>
          <w:sz w:val="22"/>
          <w:szCs w:val="22"/>
        </w:rPr>
      </w:pPr>
    </w:p>
    <w:p w14:paraId="0160AF31" w14:textId="6F04C11C" w:rsidR="00756049" w:rsidRPr="00295ED8" w:rsidRDefault="00C15253" w:rsidP="00756049">
      <w:pPr>
        <w:rPr>
          <w:rFonts w:asciiTheme="majorHAnsi" w:hAnsiTheme="majorHAnsi" w:cstheme="majorHAnsi"/>
          <w:color w:val="000000"/>
          <w:sz w:val="22"/>
          <w:szCs w:val="22"/>
        </w:rPr>
      </w:pPr>
      <w:r w:rsidRPr="00295ED8">
        <w:rPr>
          <w:rFonts w:asciiTheme="majorHAnsi" w:hAnsiTheme="majorHAnsi" w:cstheme="majorHAnsi"/>
          <w:sz w:val="22"/>
          <w:szCs w:val="22"/>
        </w:rPr>
        <w:t xml:space="preserve">Professor </w:t>
      </w:r>
      <w:r w:rsidR="00756049" w:rsidRPr="00295ED8">
        <w:rPr>
          <w:rFonts w:asciiTheme="majorHAnsi" w:hAnsiTheme="majorHAnsi" w:cstheme="majorHAnsi"/>
          <w:sz w:val="22"/>
          <w:szCs w:val="22"/>
        </w:rPr>
        <w:t>John Hattie has explained this surprising phenomenon in the following way</w:t>
      </w:r>
      <w:r w:rsidR="00295ED8">
        <w:rPr>
          <w:rFonts w:asciiTheme="majorHAnsi" w:hAnsiTheme="majorHAnsi" w:cstheme="majorHAnsi"/>
          <w:sz w:val="22"/>
          <w:szCs w:val="22"/>
        </w:rPr>
        <w:t>:</w:t>
      </w:r>
      <w:r w:rsidR="00756049" w:rsidRPr="00295ED8">
        <w:rPr>
          <w:rFonts w:asciiTheme="majorHAnsi" w:hAnsiTheme="majorHAnsi" w:cstheme="majorHAnsi"/>
          <w:sz w:val="22"/>
          <w:szCs w:val="22"/>
        </w:rPr>
        <w:t xml:space="preserve"> </w:t>
      </w:r>
      <w:r w:rsidR="00756049" w:rsidRPr="00295ED8">
        <w:rPr>
          <w:rFonts w:asciiTheme="majorHAnsi" w:hAnsiTheme="majorHAnsi" w:cstheme="majorHAnsi"/>
          <w:color w:val="000000"/>
          <w:sz w:val="22"/>
          <w:szCs w:val="22"/>
        </w:rPr>
        <w:t>“Social stratification is sharper in Australian, and a lower proportion go to socially mixed schools than in most countries which we wish to compare. Paradoxically, this not only leads to more low-income students facing greater obstacles to educational achievement because they are segregated into residualised schools, but also to more ‘cruising’ schools serving better off students, but not adding significant value to their educational achievement. This latter trend is a major contributor to Australia’s declining educational performance.”</w:t>
      </w:r>
      <w:r w:rsidR="00F368DE" w:rsidRPr="00295ED8">
        <w:rPr>
          <w:rStyle w:val="EndnoteReference"/>
          <w:rFonts w:asciiTheme="majorHAnsi" w:hAnsiTheme="majorHAnsi" w:cstheme="majorHAnsi"/>
          <w:color w:val="000000"/>
          <w:sz w:val="22"/>
          <w:szCs w:val="22"/>
        </w:rPr>
        <w:endnoteReference w:id="25"/>
      </w:r>
      <w:r w:rsidR="00756049" w:rsidRPr="00295ED8">
        <w:rPr>
          <w:rFonts w:asciiTheme="majorHAnsi" w:hAnsiTheme="majorHAnsi" w:cstheme="majorHAnsi"/>
          <w:color w:val="000000"/>
          <w:sz w:val="22"/>
          <w:szCs w:val="22"/>
        </w:rPr>
        <w:br/>
      </w:r>
    </w:p>
    <w:p w14:paraId="5108F34D" w14:textId="77777777" w:rsidR="00F72BBC" w:rsidRDefault="00EC0D2F" w:rsidP="00314403">
      <w:pPr>
        <w:pStyle w:val="NormalWeb"/>
        <w:spacing w:before="0" w:beforeAutospacing="0" w:after="0" w:afterAutospacing="0"/>
        <w:rPr>
          <w:rFonts w:asciiTheme="majorHAnsi" w:hAnsiTheme="majorHAnsi" w:cstheme="majorHAnsi"/>
          <w:color w:val="000000"/>
          <w:sz w:val="22"/>
          <w:szCs w:val="22"/>
          <w:lang w:eastAsia="en-GB"/>
        </w:rPr>
      </w:pPr>
      <w:r w:rsidRPr="00295ED8">
        <w:rPr>
          <w:rFonts w:asciiTheme="majorHAnsi" w:hAnsiTheme="majorHAnsi" w:cstheme="majorHAnsi"/>
          <w:b/>
          <w:bCs/>
          <w:color w:val="000000"/>
          <w:sz w:val="22"/>
          <w:szCs w:val="22"/>
        </w:rPr>
        <w:t>At present, policy settings permit and even encourage schools to pursue success, or the appearance of it, by cherry picking students.</w:t>
      </w:r>
      <w:r w:rsidRPr="00295ED8">
        <w:rPr>
          <w:rFonts w:asciiTheme="majorHAnsi" w:hAnsiTheme="majorHAnsi" w:cstheme="majorHAnsi"/>
          <w:color w:val="000000"/>
          <w:sz w:val="22"/>
          <w:szCs w:val="22"/>
        </w:rPr>
        <w:t xml:space="preserve"> There is correspondingly less incentive to innovate to value-add, leading to a phenomenon of “cruiser” schools. </w:t>
      </w:r>
      <w:r w:rsidRPr="00F72BBC">
        <w:rPr>
          <w:rFonts w:asciiTheme="majorHAnsi" w:hAnsiTheme="majorHAnsi" w:cstheme="majorHAnsi"/>
          <w:color w:val="000000"/>
          <w:sz w:val="22"/>
          <w:szCs w:val="22"/>
        </w:rPr>
        <w:t>To maximise effectiveness and productivity we need high-level policy settings that reward, rather than punish, schools and systems which add value rather than specialise in enrolling already high-performing students.</w:t>
      </w:r>
      <w:r w:rsidRPr="00295ED8">
        <w:rPr>
          <w:rFonts w:asciiTheme="majorHAnsi" w:hAnsiTheme="majorHAnsi" w:cstheme="majorHAnsi"/>
          <w:color w:val="000000"/>
          <w:sz w:val="22"/>
          <w:szCs w:val="22"/>
        </w:rPr>
        <w:t xml:space="preserve"> </w:t>
      </w:r>
    </w:p>
    <w:p w14:paraId="18AC504F" w14:textId="77777777" w:rsidR="00F72BBC" w:rsidRDefault="00F72BBC" w:rsidP="00314403">
      <w:pPr>
        <w:pStyle w:val="NormalWeb"/>
        <w:spacing w:before="0" w:beforeAutospacing="0" w:after="0" w:afterAutospacing="0"/>
        <w:rPr>
          <w:rFonts w:asciiTheme="majorHAnsi" w:hAnsiTheme="majorHAnsi" w:cstheme="majorHAnsi"/>
          <w:color w:val="000000"/>
          <w:sz w:val="22"/>
          <w:szCs w:val="22"/>
          <w:lang w:eastAsia="en-GB"/>
        </w:rPr>
      </w:pPr>
    </w:p>
    <w:p w14:paraId="2455E1D3" w14:textId="248CE57D" w:rsidR="00C35ADB" w:rsidRPr="00F72BBC" w:rsidRDefault="00C15253" w:rsidP="00F72BBC">
      <w:pPr>
        <w:pStyle w:val="NormalWeb"/>
        <w:spacing w:before="0" w:beforeAutospacing="0" w:after="0" w:afterAutospacing="0"/>
        <w:rPr>
          <w:rFonts w:asciiTheme="majorHAnsi" w:hAnsiTheme="majorHAnsi" w:cstheme="majorHAnsi"/>
          <w:sz w:val="22"/>
          <w:szCs w:val="22"/>
        </w:rPr>
      </w:pPr>
      <w:r w:rsidRPr="00295ED8">
        <w:rPr>
          <w:rFonts w:asciiTheme="majorHAnsi" w:hAnsiTheme="majorHAnsi" w:cstheme="majorHAnsi"/>
          <w:color w:val="000000"/>
          <w:sz w:val="22"/>
          <w:szCs w:val="22"/>
          <w:lang w:eastAsia="en-GB"/>
        </w:rPr>
        <w:t>The OECD has also emphasised that allowing school competition to centre on recruiting high-performing students does not promote improved student outcomes overall</w:t>
      </w:r>
      <w:r w:rsidR="00F72BBC">
        <w:rPr>
          <w:rFonts w:asciiTheme="majorHAnsi" w:hAnsiTheme="majorHAnsi" w:cstheme="majorHAnsi"/>
          <w:color w:val="000000"/>
          <w:sz w:val="22"/>
          <w:szCs w:val="22"/>
          <w:lang w:eastAsia="en-GB"/>
        </w:rPr>
        <w:t xml:space="preserve">: </w:t>
      </w:r>
      <w:r w:rsidR="00756049" w:rsidRPr="00295ED8">
        <w:rPr>
          <w:rFonts w:asciiTheme="majorHAnsi" w:hAnsiTheme="majorHAnsi" w:cstheme="majorHAnsi"/>
          <w:color w:val="000000"/>
          <w:sz w:val="22"/>
          <w:szCs w:val="22"/>
          <w:lang w:eastAsia="en-GB"/>
        </w:rPr>
        <w:t>“The international evidence suggests that schools that are selective in their admissions tend to</w:t>
      </w:r>
      <w:r w:rsidR="00756049" w:rsidRPr="000339A3">
        <w:rPr>
          <w:rFonts w:asciiTheme="minorHAnsi" w:hAnsiTheme="minorHAnsi" w:cstheme="minorHAnsi"/>
          <w:color w:val="000000"/>
          <w:sz w:val="22"/>
          <w:szCs w:val="22"/>
          <w:lang w:eastAsia="en-GB"/>
        </w:rPr>
        <w:t xml:space="preserve"> </w:t>
      </w:r>
      <w:r w:rsidR="00756049" w:rsidRPr="00F72BBC">
        <w:rPr>
          <w:rFonts w:asciiTheme="majorHAnsi" w:hAnsiTheme="majorHAnsi" w:cstheme="majorHAnsi"/>
          <w:color w:val="000000"/>
          <w:sz w:val="22"/>
          <w:szCs w:val="22"/>
          <w:lang w:eastAsia="en-GB"/>
        </w:rPr>
        <w:t>attract students with greater ability and higher socio-economic status, regardless of the quality of the education they provide. Given that high-ability students can be less costly to educate</w:t>
      </w:r>
      <w:r w:rsidR="00F72BBC" w:rsidRPr="00F72BBC">
        <w:rPr>
          <w:rFonts w:asciiTheme="majorHAnsi" w:hAnsiTheme="majorHAnsi" w:cstheme="majorHAnsi"/>
          <w:color w:val="000000"/>
          <w:sz w:val="22"/>
          <w:szCs w:val="22"/>
          <w:lang w:eastAsia="en-GB"/>
        </w:rPr>
        <w:t>,</w:t>
      </w:r>
      <w:r w:rsidR="00756049" w:rsidRPr="00F72BBC">
        <w:rPr>
          <w:rFonts w:asciiTheme="majorHAnsi" w:hAnsiTheme="majorHAnsi" w:cstheme="majorHAnsi"/>
          <w:color w:val="000000"/>
          <w:sz w:val="22"/>
          <w:szCs w:val="22"/>
          <w:lang w:eastAsia="en-GB"/>
        </w:rPr>
        <w:t xml:space="preserve"> and their presence can make a school more attractive to parents, schools that can control their intake wind up with a competitive advantage. Allowing private schools to select their students thus gives these schools an incentive to compete on the basis of exclusiveness rather than on their intrinsic quality. That, in turn, can undermine the positive effects of competition.”</w:t>
      </w:r>
      <w:r w:rsidR="00F368DE" w:rsidRPr="00F72BBC">
        <w:rPr>
          <w:rStyle w:val="EndnoteReference"/>
          <w:rFonts w:asciiTheme="majorHAnsi" w:hAnsiTheme="majorHAnsi" w:cstheme="majorHAnsi"/>
          <w:color w:val="000000"/>
          <w:sz w:val="22"/>
          <w:szCs w:val="22"/>
          <w:lang w:eastAsia="en-GB"/>
        </w:rPr>
        <w:endnoteReference w:id="26"/>
      </w:r>
      <w:r w:rsidR="00756049" w:rsidRPr="00F72BBC">
        <w:rPr>
          <w:rFonts w:asciiTheme="majorHAnsi" w:hAnsiTheme="majorHAnsi" w:cstheme="majorHAnsi"/>
          <w:color w:val="000000"/>
          <w:sz w:val="22"/>
          <w:szCs w:val="22"/>
          <w:lang w:eastAsia="en-GB"/>
        </w:rPr>
        <w:t xml:space="preserve"> </w:t>
      </w:r>
      <w:r w:rsidR="00756049" w:rsidRPr="00F72BBC">
        <w:rPr>
          <w:rFonts w:asciiTheme="majorHAnsi" w:hAnsiTheme="majorHAnsi" w:cstheme="majorHAnsi"/>
          <w:color w:val="000000"/>
          <w:sz w:val="22"/>
          <w:szCs w:val="22"/>
          <w:lang w:eastAsia="en-GB"/>
        </w:rPr>
        <w:br/>
      </w:r>
    </w:p>
    <w:p w14:paraId="25F9A9F6" w14:textId="13CC4286" w:rsidR="004354C1" w:rsidRPr="00734CA7" w:rsidRDefault="004354C1" w:rsidP="004354C1">
      <w:pPr>
        <w:rPr>
          <w:rFonts w:asciiTheme="majorHAnsi" w:hAnsiTheme="majorHAnsi" w:cstheme="majorHAnsi"/>
          <w:color w:val="4383A9"/>
          <w:sz w:val="22"/>
          <w:szCs w:val="22"/>
        </w:rPr>
      </w:pPr>
      <w:r w:rsidRPr="00734CA7">
        <w:rPr>
          <w:rFonts w:asciiTheme="majorHAnsi" w:hAnsiTheme="majorHAnsi" w:cstheme="majorHAnsi"/>
          <w:color w:val="4383A9"/>
          <w:sz w:val="22"/>
          <w:szCs w:val="22"/>
        </w:rPr>
        <w:t xml:space="preserve">Have these drivers changed over the past decade or over the life of the NSRA? </w:t>
      </w:r>
    </w:p>
    <w:p w14:paraId="699A7BD1" w14:textId="77777777" w:rsidR="00BA0A75" w:rsidRPr="00734CA7" w:rsidRDefault="00BA0A75" w:rsidP="00FA6A5C">
      <w:pPr>
        <w:rPr>
          <w:rFonts w:asciiTheme="majorHAnsi" w:hAnsiTheme="majorHAnsi" w:cstheme="majorHAnsi"/>
          <w:color w:val="4383A9"/>
          <w:sz w:val="22"/>
          <w:szCs w:val="22"/>
        </w:rPr>
      </w:pPr>
    </w:p>
    <w:p w14:paraId="0A6F0838" w14:textId="77777777" w:rsidR="00F72BBC" w:rsidRPr="00F72BBC" w:rsidRDefault="00F92384" w:rsidP="002835D1">
      <w:pPr>
        <w:autoSpaceDE w:val="0"/>
        <w:autoSpaceDN w:val="0"/>
        <w:adjustRightInd w:val="0"/>
        <w:rPr>
          <w:rFonts w:asciiTheme="majorHAnsi" w:hAnsiTheme="majorHAnsi" w:cstheme="majorHAnsi"/>
          <w:sz w:val="22"/>
          <w:szCs w:val="22"/>
        </w:rPr>
      </w:pPr>
      <w:r w:rsidRPr="00F72BBC">
        <w:rPr>
          <w:rFonts w:asciiTheme="majorHAnsi" w:hAnsiTheme="majorHAnsi" w:cstheme="majorHAnsi"/>
          <w:sz w:val="22"/>
          <w:szCs w:val="22"/>
        </w:rPr>
        <w:t>T</w:t>
      </w:r>
      <w:r w:rsidR="00C15253" w:rsidRPr="00F72BBC">
        <w:rPr>
          <w:rFonts w:asciiTheme="majorHAnsi" w:hAnsiTheme="majorHAnsi" w:cstheme="majorHAnsi"/>
          <w:sz w:val="22"/>
          <w:szCs w:val="22"/>
        </w:rPr>
        <w:t>axpayer</w:t>
      </w:r>
      <w:r w:rsidR="00454121" w:rsidRPr="00F72BBC">
        <w:rPr>
          <w:rFonts w:asciiTheme="majorHAnsi" w:hAnsiTheme="majorHAnsi" w:cstheme="majorHAnsi"/>
          <w:sz w:val="22"/>
          <w:szCs w:val="22"/>
        </w:rPr>
        <w:t>-fuelled resource disparities</w:t>
      </w:r>
      <w:r w:rsidR="00C15253" w:rsidRPr="00F72BBC">
        <w:rPr>
          <w:rFonts w:asciiTheme="majorHAnsi" w:hAnsiTheme="majorHAnsi" w:cstheme="majorHAnsi"/>
          <w:sz w:val="22"/>
          <w:szCs w:val="22"/>
        </w:rPr>
        <w:t xml:space="preserve"> have continued to provide some non-government schools with a competitive advantage, helping them attract advantaged students and engendering concentrations of disadvantage at free, comprehensive public schools. </w:t>
      </w:r>
      <w:r w:rsidR="001B7E40" w:rsidRPr="00F72BBC">
        <w:rPr>
          <w:rFonts w:asciiTheme="majorHAnsi" w:hAnsiTheme="majorHAnsi" w:cstheme="majorHAnsi"/>
          <w:sz w:val="22"/>
          <w:szCs w:val="22"/>
        </w:rPr>
        <w:br/>
      </w:r>
      <w:r w:rsidR="001B7E40" w:rsidRPr="00F72BBC">
        <w:rPr>
          <w:rFonts w:asciiTheme="majorHAnsi" w:hAnsiTheme="majorHAnsi" w:cstheme="majorHAnsi"/>
          <w:sz w:val="22"/>
          <w:szCs w:val="22"/>
        </w:rPr>
        <w:br/>
        <w:t xml:space="preserve">Firstly, the design of the schooling resource standard includes funding loadings for disadvantaged groups that expand in size as the proportion of students in that category at a given school increases. This has the effect of providing financial resourcing to schools to address the consequences of negative peer effects. If fully delivered, this funding could also make these schools relatively more attractive in competition for new enrolments. </w:t>
      </w:r>
    </w:p>
    <w:p w14:paraId="3F8175AE" w14:textId="77777777" w:rsidR="00CA15A6" w:rsidRDefault="001B7E40" w:rsidP="002835D1">
      <w:pPr>
        <w:autoSpaceDE w:val="0"/>
        <w:autoSpaceDN w:val="0"/>
        <w:adjustRightInd w:val="0"/>
        <w:rPr>
          <w:rFonts w:asciiTheme="majorHAnsi" w:hAnsiTheme="majorHAnsi" w:cstheme="majorHAnsi"/>
          <w:sz w:val="22"/>
          <w:szCs w:val="22"/>
        </w:rPr>
      </w:pPr>
      <w:r w:rsidRPr="00F72BBC">
        <w:rPr>
          <w:rFonts w:asciiTheme="majorHAnsi" w:hAnsiTheme="majorHAnsi" w:cstheme="majorHAnsi"/>
          <w:sz w:val="22"/>
          <w:szCs w:val="22"/>
        </w:rPr>
        <w:lastRenderedPageBreak/>
        <w:t>However, public schools continue to be substantially underfunded against the resource standard.</w:t>
      </w:r>
      <w:r w:rsidR="002835D1" w:rsidRPr="00F72BBC">
        <w:rPr>
          <w:rStyle w:val="EndnoteReference"/>
          <w:rFonts w:asciiTheme="majorHAnsi" w:hAnsiTheme="majorHAnsi" w:cstheme="majorHAnsi"/>
          <w:sz w:val="22"/>
          <w:szCs w:val="22"/>
        </w:rPr>
        <w:endnoteReference w:id="27"/>
      </w:r>
      <w:r w:rsidR="002835D1" w:rsidRPr="00F72BBC">
        <w:rPr>
          <w:rFonts w:asciiTheme="majorHAnsi" w:hAnsiTheme="majorHAnsi" w:cstheme="majorHAnsi"/>
          <w:sz w:val="22"/>
          <w:szCs w:val="22"/>
        </w:rPr>
        <w:t xml:space="preserve"> </w:t>
      </w:r>
      <w:r w:rsidRPr="00F72BBC">
        <w:rPr>
          <w:rFonts w:asciiTheme="majorHAnsi" w:hAnsiTheme="majorHAnsi" w:cstheme="majorHAnsi"/>
          <w:sz w:val="22"/>
          <w:szCs w:val="22"/>
        </w:rPr>
        <w:t xml:space="preserve">This means they are not adequately equipped to serve the students they currently enrol. It also means </w:t>
      </w:r>
      <w:r w:rsidR="00BC45A4" w:rsidRPr="00F72BBC">
        <w:rPr>
          <w:rFonts w:asciiTheme="majorHAnsi" w:hAnsiTheme="majorHAnsi" w:cstheme="majorHAnsi"/>
          <w:sz w:val="22"/>
          <w:szCs w:val="22"/>
        </w:rPr>
        <w:t xml:space="preserve">they are less well positioned to attract new enrolments and move towards a greater socio-economic balance in the communities they serve. </w:t>
      </w:r>
      <w:r w:rsidR="00BC45A4" w:rsidRPr="00F72BBC">
        <w:rPr>
          <w:rFonts w:asciiTheme="majorHAnsi" w:hAnsiTheme="majorHAnsi" w:cstheme="majorHAnsi"/>
          <w:sz w:val="22"/>
          <w:szCs w:val="22"/>
        </w:rPr>
        <w:br/>
      </w:r>
      <w:r w:rsidR="00BC45A4" w:rsidRPr="00F72BBC">
        <w:rPr>
          <w:rFonts w:asciiTheme="majorHAnsi" w:hAnsiTheme="majorHAnsi" w:cstheme="majorHAnsi"/>
          <w:sz w:val="22"/>
          <w:szCs w:val="22"/>
        </w:rPr>
        <w:br/>
        <w:t xml:space="preserve">The failure to fund schools according to the schooling resource standard is exacerbated by a second development which has occurred over the life of the NSRA. </w:t>
      </w:r>
    </w:p>
    <w:p w14:paraId="7AE534B3" w14:textId="77777777" w:rsidR="00CA15A6" w:rsidRDefault="00CA15A6" w:rsidP="002835D1">
      <w:pPr>
        <w:autoSpaceDE w:val="0"/>
        <w:autoSpaceDN w:val="0"/>
        <w:adjustRightInd w:val="0"/>
        <w:rPr>
          <w:rFonts w:asciiTheme="majorHAnsi" w:hAnsiTheme="majorHAnsi" w:cstheme="majorHAnsi"/>
          <w:sz w:val="22"/>
          <w:szCs w:val="22"/>
        </w:rPr>
      </w:pPr>
    </w:p>
    <w:p w14:paraId="32BB5E85" w14:textId="648C7158" w:rsidR="0083705D" w:rsidRPr="00F72BBC" w:rsidRDefault="00BC45A4" w:rsidP="002835D1">
      <w:pPr>
        <w:autoSpaceDE w:val="0"/>
        <w:autoSpaceDN w:val="0"/>
        <w:adjustRightInd w:val="0"/>
        <w:rPr>
          <w:rFonts w:asciiTheme="majorHAnsi" w:eastAsiaTheme="minorHAnsi" w:hAnsiTheme="majorHAnsi" w:cstheme="majorHAnsi"/>
          <w:sz w:val="22"/>
          <w:szCs w:val="22"/>
          <w:lang w:val="en-GB" w:eastAsia="en-US"/>
        </w:rPr>
      </w:pPr>
      <w:r w:rsidRPr="00F72BBC">
        <w:rPr>
          <w:rFonts w:asciiTheme="majorHAnsi" w:hAnsiTheme="majorHAnsi" w:cstheme="majorHAnsi"/>
          <w:sz w:val="22"/>
          <w:szCs w:val="22"/>
        </w:rPr>
        <w:t>Total taxpayer funding has increased at a much faster rate to schools in the non-government sector, in turn enhancing their capacity to attract new enrolments away from comprehensive public schools.</w:t>
      </w:r>
      <w:r w:rsidR="00C4181F" w:rsidRPr="00F72BBC">
        <w:rPr>
          <w:rStyle w:val="EndnoteReference"/>
          <w:rFonts w:asciiTheme="majorHAnsi" w:hAnsiTheme="majorHAnsi" w:cstheme="majorHAnsi"/>
          <w:sz w:val="22"/>
          <w:szCs w:val="22"/>
        </w:rPr>
        <w:endnoteReference w:id="28"/>
      </w:r>
      <w:r w:rsidRPr="00F72BBC">
        <w:rPr>
          <w:rFonts w:asciiTheme="majorHAnsi" w:hAnsiTheme="majorHAnsi" w:cstheme="majorHAnsi"/>
          <w:sz w:val="22"/>
          <w:szCs w:val="22"/>
        </w:rPr>
        <w:t xml:space="preserve"> At the same time, fees and exclusive enrolment practices continue to function as forms of exclusion for students from disadvantaged backgrounds. </w:t>
      </w:r>
    </w:p>
    <w:p w14:paraId="6CDB301B" w14:textId="77777777" w:rsidR="00FE0CFA" w:rsidRPr="00F72BBC" w:rsidRDefault="00FE0CFA" w:rsidP="00FE0CFA">
      <w:pPr>
        <w:rPr>
          <w:rFonts w:asciiTheme="majorHAnsi" w:hAnsiTheme="majorHAnsi" w:cstheme="majorHAnsi"/>
          <w:sz w:val="22"/>
          <w:szCs w:val="22"/>
        </w:rPr>
      </w:pPr>
    </w:p>
    <w:p w14:paraId="300B6FFB" w14:textId="605EAD2B" w:rsidR="004354C1" w:rsidRPr="00CA15A6" w:rsidRDefault="007F59C2" w:rsidP="001C3FD3">
      <w:pPr>
        <w:rPr>
          <w:rFonts w:asciiTheme="majorHAnsi" w:hAnsiTheme="majorHAnsi" w:cstheme="majorHAnsi"/>
          <w:b/>
          <w:bCs/>
          <w:sz w:val="22"/>
          <w:szCs w:val="22"/>
        </w:rPr>
      </w:pPr>
      <w:r w:rsidRPr="00CA15A6">
        <w:rPr>
          <w:rFonts w:asciiTheme="majorHAnsi" w:hAnsiTheme="majorHAnsi" w:cstheme="majorHAnsi"/>
          <w:b/>
          <w:bCs/>
          <w:sz w:val="22"/>
          <w:szCs w:val="22"/>
        </w:rPr>
        <w:t>Over th</w:t>
      </w:r>
      <w:r w:rsidR="001C3FD3" w:rsidRPr="00CA15A6">
        <w:rPr>
          <w:rFonts w:asciiTheme="majorHAnsi" w:hAnsiTheme="majorHAnsi" w:cstheme="majorHAnsi"/>
          <w:b/>
          <w:bCs/>
          <w:sz w:val="22"/>
          <w:szCs w:val="22"/>
        </w:rPr>
        <w:t>e last decade</w:t>
      </w:r>
      <w:r w:rsidRPr="00CA15A6">
        <w:rPr>
          <w:rFonts w:asciiTheme="majorHAnsi" w:hAnsiTheme="majorHAnsi" w:cstheme="majorHAnsi"/>
          <w:b/>
          <w:bCs/>
          <w:sz w:val="22"/>
          <w:szCs w:val="22"/>
        </w:rPr>
        <w:t xml:space="preserve">, My School website </w:t>
      </w:r>
      <w:r w:rsidR="004B4AA6" w:rsidRPr="00CA15A6">
        <w:rPr>
          <w:rFonts w:asciiTheme="majorHAnsi" w:hAnsiTheme="majorHAnsi" w:cstheme="majorHAnsi"/>
          <w:b/>
          <w:bCs/>
          <w:sz w:val="22"/>
          <w:szCs w:val="22"/>
        </w:rPr>
        <w:t xml:space="preserve">data </w:t>
      </w:r>
      <w:r w:rsidRPr="00CA15A6">
        <w:rPr>
          <w:rFonts w:asciiTheme="majorHAnsi" w:hAnsiTheme="majorHAnsi" w:cstheme="majorHAnsi"/>
          <w:b/>
          <w:bCs/>
          <w:sz w:val="22"/>
          <w:szCs w:val="22"/>
        </w:rPr>
        <w:t>points to</w:t>
      </w:r>
      <w:r w:rsidR="004B79E7" w:rsidRPr="00CA15A6">
        <w:rPr>
          <w:rFonts w:asciiTheme="majorHAnsi" w:hAnsiTheme="majorHAnsi" w:cstheme="majorHAnsi"/>
          <w:b/>
          <w:bCs/>
          <w:sz w:val="22"/>
          <w:szCs w:val="22"/>
        </w:rPr>
        <w:t xml:space="preserve"> trends which, when considered together, should be raising considerable concern</w:t>
      </w:r>
      <w:r w:rsidR="00CA15A6">
        <w:rPr>
          <w:rFonts w:asciiTheme="majorHAnsi" w:hAnsiTheme="majorHAnsi" w:cstheme="majorHAnsi"/>
          <w:b/>
          <w:bCs/>
          <w:sz w:val="22"/>
          <w:szCs w:val="22"/>
        </w:rPr>
        <w:t xml:space="preserve">. </w:t>
      </w:r>
      <w:r w:rsidR="00CA15A6">
        <w:rPr>
          <w:rFonts w:asciiTheme="majorHAnsi" w:hAnsiTheme="majorHAnsi" w:cstheme="majorHAnsi"/>
          <w:sz w:val="22"/>
          <w:szCs w:val="22"/>
        </w:rPr>
        <w:t>These include</w:t>
      </w:r>
      <w:r w:rsidR="004B79E7" w:rsidRPr="00CA15A6">
        <w:rPr>
          <w:rFonts w:asciiTheme="majorHAnsi" w:hAnsiTheme="majorHAnsi" w:cstheme="majorHAnsi"/>
          <w:b/>
          <w:bCs/>
          <w:sz w:val="22"/>
          <w:szCs w:val="22"/>
        </w:rPr>
        <w:t>:</w:t>
      </w:r>
    </w:p>
    <w:p w14:paraId="010E6098" w14:textId="77777777" w:rsidR="00F92384" w:rsidRPr="00F72BBC" w:rsidRDefault="00F92384" w:rsidP="001C3FD3">
      <w:pPr>
        <w:rPr>
          <w:rFonts w:asciiTheme="majorHAnsi" w:hAnsiTheme="majorHAnsi" w:cstheme="majorHAnsi"/>
          <w:sz w:val="22"/>
          <w:szCs w:val="22"/>
        </w:rPr>
      </w:pPr>
    </w:p>
    <w:p w14:paraId="36E31D05" w14:textId="5BD94E76" w:rsidR="000E0B21" w:rsidRPr="00F72BBC" w:rsidRDefault="004A23F5"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 xml:space="preserve">The most disadvantaged students </w:t>
      </w:r>
      <w:r w:rsidR="001C3FD3" w:rsidRPr="00F72BBC">
        <w:rPr>
          <w:rFonts w:asciiTheme="majorHAnsi" w:hAnsiTheme="majorHAnsi" w:cstheme="majorHAnsi"/>
          <w:sz w:val="22"/>
          <w:szCs w:val="22"/>
        </w:rPr>
        <w:t xml:space="preserve">now </w:t>
      </w:r>
      <w:r w:rsidRPr="00F72BBC">
        <w:rPr>
          <w:rFonts w:asciiTheme="majorHAnsi" w:hAnsiTheme="majorHAnsi" w:cstheme="majorHAnsi"/>
          <w:sz w:val="22"/>
          <w:szCs w:val="22"/>
        </w:rPr>
        <w:t>form an average of 49 per cent of the enrolments in schools below ICSEA 1000, up from just over 30 per cent in 2012.</w:t>
      </w:r>
      <w:r w:rsidR="00946869" w:rsidRPr="00F72BBC">
        <w:rPr>
          <w:rFonts w:asciiTheme="majorHAnsi" w:hAnsiTheme="majorHAnsi" w:cstheme="majorHAnsi"/>
          <w:sz w:val="22"/>
          <w:szCs w:val="22"/>
        </w:rPr>
        <w:t xml:space="preserve"> The most </w:t>
      </w:r>
      <w:r w:rsidR="00946869" w:rsidRPr="00F72BBC">
        <w:rPr>
          <w:rFonts w:asciiTheme="majorHAnsi" w:hAnsiTheme="majorHAnsi" w:cstheme="majorHAnsi"/>
          <w:i/>
          <w:iCs/>
          <w:sz w:val="22"/>
          <w:szCs w:val="22"/>
        </w:rPr>
        <w:t xml:space="preserve">advantaged </w:t>
      </w:r>
      <w:r w:rsidR="00946869" w:rsidRPr="00F72BBC">
        <w:rPr>
          <w:rFonts w:asciiTheme="majorHAnsi" w:hAnsiTheme="majorHAnsi" w:cstheme="majorHAnsi"/>
          <w:sz w:val="22"/>
          <w:szCs w:val="22"/>
        </w:rPr>
        <w:t>students represent a declining proportion of these schools’ enrolments.</w:t>
      </w:r>
      <w:r w:rsidR="00CA0016" w:rsidRPr="00F72BBC">
        <w:rPr>
          <w:rStyle w:val="EndnoteReference"/>
          <w:rFonts w:asciiTheme="majorHAnsi" w:hAnsiTheme="majorHAnsi" w:cstheme="majorHAnsi"/>
          <w:sz w:val="22"/>
          <w:szCs w:val="22"/>
        </w:rPr>
        <w:endnoteReference w:id="29"/>
      </w:r>
      <w:r w:rsidR="001C3FD3" w:rsidRPr="00F72BBC">
        <w:rPr>
          <w:rFonts w:asciiTheme="majorHAnsi" w:hAnsiTheme="majorHAnsi" w:cstheme="majorHAnsi"/>
          <w:sz w:val="22"/>
          <w:szCs w:val="22"/>
        </w:rPr>
        <w:t xml:space="preserve"> </w:t>
      </w:r>
      <w:r w:rsidR="00B12F32" w:rsidRPr="00F72BBC">
        <w:rPr>
          <w:rFonts w:asciiTheme="majorHAnsi" w:hAnsiTheme="majorHAnsi" w:cstheme="majorHAnsi"/>
          <w:sz w:val="22"/>
          <w:szCs w:val="22"/>
        </w:rPr>
        <w:br/>
      </w:r>
    </w:p>
    <w:p w14:paraId="6EF8B24B" w14:textId="3CBD589D" w:rsidR="004B79E7" w:rsidRPr="00F72BBC" w:rsidRDefault="000E0B21"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The imp</w:t>
      </w:r>
      <w:r w:rsidR="00D41DFA" w:rsidRPr="00F72BBC">
        <w:rPr>
          <w:rFonts w:asciiTheme="majorHAnsi" w:hAnsiTheme="majorHAnsi" w:cstheme="majorHAnsi"/>
          <w:sz w:val="22"/>
          <w:szCs w:val="22"/>
        </w:rPr>
        <w:t xml:space="preserve">ortance </w:t>
      </w:r>
      <w:r w:rsidRPr="00F72BBC">
        <w:rPr>
          <w:rFonts w:asciiTheme="majorHAnsi" w:hAnsiTheme="majorHAnsi" w:cstheme="majorHAnsi"/>
          <w:sz w:val="22"/>
          <w:szCs w:val="22"/>
        </w:rPr>
        <w:t xml:space="preserve">of </w:t>
      </w:r>
      <w:r w:rsidR="00D41DFA" w:rsidRPr="00F72BBC">
        <w:rPr>
          <w:rFonts w:asciiTheme="majorHAnsi" w:hAnsiTheme="majorHAnsi" w:cstheme="majorHAnsi"/>
          <w:sz w:val="22"/>
          <w:szCs w:val="22"/>
        </w:rPr>
        <w:t xml:space="preserve">school </w:t>
      </w:r>
      <w:r w:rsidRPr="00F72BBC">
        <w:rPr>
          <w:rFonts w:asciiTheme="majorHAnsi" w:hAnsiTheme="majorHAnsi" w:cstheme="majorHAnsi"/>
          <w:sz w:val="22"/>
          <w:szCs w:val="22"/>
        </w:rPr>
        <w:t xml:space="preserve">SES </w:t>
      </w:r>
      <w:r w:rsidR="00DF74FB" w:rsidRPr="00F72BBC">
        <w:rPr>
          <w:rFonts w:asciiTheme="majorHAnsi" w:hAnsiTheme="majorHAnsi" w:cstheme="majorHAnsi"/>
          <w:sz w:val="22"/>
          <w:szCs w:val="22"/>
        </w:rPr>
        <w:t xml:space="preserve">(and/or sector) </w:t>
      </w:r>
      <w:r w:rsidRPr="00F72BBC">
        <w:rPr>
          <w:rFonts w:asciiTheme="majorHAnsi" w:hAnsiTheme="majorHAnsi" w:cstheme="majorHAnsi"/>
          <w:sz w:val="22"/>
          <w:szCs w:val="22"/>
        </w:rPr>
        <w:t>is showing up in other</w:t>
      </w:r>
      <w:r w:rsidR="00D41DFA" w:rsidRPr="00F72BBC">
        <w:rPr>
          <w:rFonts w:asciiTheme="majorHAnsi" w:hAnsiTheme="majorHAnsi" w:cstheme="majorHAnsi"/>
          <w:sz w:val="22"/>
          <w:szCs w:val="22"/>
        </w:rPr>
        <w:t xml:space="preserve"> diverse</w:t>
      </w:r>
      <w:r w:rsidRPr="00F72BBC">
        <w:rPr>
          <w:rFonts w:asciiTheme="majorHAnsi" w:hAnsiTheme="majorHAnsi" w:cstheme="majorHAnsi"/>
          <w:sz w:val="22"/>
          <w:szCs w:val="22"/>
        </w:rPr>
        <w:t xml:space="preserve"> indicators, including the size of schools, the distribution of Indigenous students,</w:t>
      </w:r>
      <w:r w:rsidR="00CA0016" w:rsidRPr="00F72BBC">
        <w:rPr>
          <w:rStyle w:val="EndnoteReference"/>
          <w:rFonts w:asciiTheme="majorHAnsi" w:hAnsiTheme="majorHAnsi" w:cstheme="majorHAnsi"/>
          <w:sz w:val="22"/>
          <w:szCs w:val="22"/>
        </w:rPr>
        <w:endnoteReference w:id="30"/>
      </w:r>
      <w:r w:rsidR="00CA0016" w:rsidRPr="00F72BBC">
        <w:rPr>
          <w:rFonts w:asciiTheme="majorHAnsi" w:hAnsiTheme="majorHAnsi" w:cstheme="majorHAnsi"/>
          <w:sz w:val="22"/>
          <w:szCs w:val="22"/>
        </w:rPr>
        <w:t xml:space="preserve"> </w:t>
      </w:r>
      <w:r w:rsidR="00AE0F82" w:rsidRPr="00F72BBC">
        <w:rPr>
          <w:rFonts w:asciiTheme="majorHAnsi" w:hAnsiTheme="majorHAnsi" w:cstheme="majorHAnsi"/>
          <w:sz w:val="22"/>
          <w:szCs w:val="22"/>
        </w:rPr>
        <w:t xml:space="preserve">levels of </w:t>
      </w:r>
      <w:r w:rsidR="00D41DFA" w:rsidRPr="00F72BBC">
        <w:rPr>
          <w:rFonts w:asciiTheme="majorHAnsi" w:hAnsiTheme="majorHAnsi" w:cstheme="majorHAnsi"/>
          <w:sz w:val="22"/>
          <w:szCs w:val="22"/>
        </w:rPr>
        <w:t xml:space="preserve">capital investment, </w:t>
      </w:r>
      <w:r w:rsidR="00DF74FB" w:rsidRPr="00F72BBC">
        <w:rPr>
          <w:rFonts w:asciiTheme="majorHAnsi" w:hAnsiTheme="majorHAnsi" w:cstheme="majorHAnsi"/>
          <w:sz w:val="22"/>
          <w:szCs w:val="22"/>
        </w:rPr>
        <w:t xml:space="preserve">staff/student ratios, </w:t>
      </w:r>
      <w:r w:rsidR="00D41DFA" w:rsidRPr="00F72BBC">
        <w:rPr>
          <w:rFonts w:asciiTheme="majorHAnsi" w:hAnsiTheme="majorHAnsi" w:cstheme="majorHAnsi"/>
          <w:sz w:val="22"/>
          <w:szCs w:val="22"/>
        </w:rPr>
        <w:t>fee levels,</w:t>
      </w:r>
      <w:r w:rsidR="00AE0F82" w:rsidRPr="00F72BBC">
        <w:rPr>
          <w:rFonts w:asciiTheme="majorHAnsi" w:hAnsiTheme="majorHAnsi" w:cstheme="majorHAnsi"/>
          <w:sz w:val="22"/>
          <w:szCs w:val="22"/>
        </w:rPr>
        <w:t xml:space="preserve"> and recurrent funding per student. </w:t>
      </w:r>
      <w:r w:rsidR="00D41DFA" w:rsidRPr="00F72BBC">
        <w:rPr>
          <w:rFonts w:asciiTheme="majorHAnsi" w:hAnsiTheme="majorHAnsi" w:cstheme="majorHAnsi"/>
          <w:sz w:val="22"/>
          <w:szCs w:val="22"/>
        </w:rPr>
        <w:t xml:space="preserve"> </w:t>
      </w:r>
      <w:r w:rsidRPr="00F72BBC">
        <w:rPr>
          <w:rFonts w:asciiTheme="majorHAnsi" w:hAnsiTheme="majorHAnsi" w:cstheme="majorHAnsi"/>
          <w:sz w:val="22"/>
          <w:szCs w:val="22"/>
        </w:rPr>
        <w:t xml:space="preserve">   </w:t>
      </w:r>
      <w:r w:rsidR="00946869" w:rsidRPr="00F72BBC">
        <w:rPr>
          <w:rFonts w:asciiTheme="majorHAnsi" w:hAnsiTheme="majorHAnsi" w:cstheme="majorHAnsi"/>
          <w:sz w:val="22"/>
          <w:szCs w:val="22"/>
        </w:rPr>
        <w:t xml:space="preserve"> </w:t>
      </w:r>
      <w:r w:rsidR="00B12F32" w:rsidRPr="00F72BBC">
        <w:rPr>
          <w:rFonts w:asciiTheme="majorHAnsi" w:hAnsiTheme="majorHAnsi" w:cstheme="majorHAnsi"/>
          <w:sz w:val="22"/>
          <w:szCs w:val="22"/>
        </w:rPr>
        <w:br/>
      </w:r>
    </w:p>
    <w:p w14:paraId="2CB0D061" w14:textId="74D99BD3" w:rsidR="00E2692B" w:rsidRPr="00F72BBC" w:rsidRDefault="00946869"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 xml:space="preserve">There seems to be </w:t>
      </w:r>
      <w:r w:rsidR="00CA15A6">
        <w:rPr>
          <w:rFonts w:asciiTheme="majorHAnsi" w:hAnsiTheme="majorHAnsi" w:cstheme="majorHAnsi"/>
          <w:sz w:val="22"/>
          <w:szCs w:val="22"/>
        </w:rPr>
        <w:t xml:space="preserve">a </w:t>
      </w:r>
      <w:r w:rsidRPr="00F72BBC">
        <w:rPr>
          <w:rFonts w:asciiTheme="majorHAnsi" w:hAnsiTheme="majorHAnsi" w:cstheme="majorHAnsi"/>
          <w:sz w:val="22"/>
          <w:szCs w:val="22"/>
        </w:rPr>
        <w:t>strengthening link between the socio-educational advantage of school enrolments and student outcomes</w:t>
      </w:r>
      <w:r w:rsidR="00B13F39" w:rsidRPr="00F72BBC">
        <w:rPr>
          <w:rFonts w:asciiTheme="majorHAnsi" w:hAnsiTheme="majorHAnsi" w:cstheme="majorHAnsi"/>
          <w:sz w:val="22"/>
          <w:szCs w:val="22"/>
        </w:rPr>
        <w:t>, quite the reverse of what is needed if schools are to be the primary drivers of these outcomes</w:t>
      </w:r>
      <w:r w:rsidRPr="00F72BBC">
        <w:rPr>
          <w:rFonts w:asciiTheme="majorHAnsi" w:hAnsiTheme="majorHAnsi" w:cstheme="majorHAnsi"/>
          <w:sz w:val="22"/>
          <w:szCs w:val="22"/>
        </w:rPr>
        <w:t>.</w:t>
      </w:r>
      <w:r w:rsidR="00304467" w:rsidRPr="00F72BBC">
        <w:rPr>
          <w:rStyle w:val="EndnoteReference"/>
          <w:rFonts w:asciiTheme="majorHAnsi" w:hAnsiTheme="majorHAnsi" w:cstheme="majorHAnsi"/>
          <w:sz w:val="22"/>
          <w:szCs w:val="22"/>
        </w:rPr>
        <w:endnoteReference w:id="31"/>
      </w:r>
      <w:r w:rsidRPr="00F72BBC">
        <w:rPr>
          <w:rFonts w:asciiTheme="majorHAnsi" w:hAnsiTheme="majorHAnsi" w:cstheme="majorHAnsi"/>
          <w:sz w:val="22"/>
          <w:szCs w:val="22"/>
        </w:rPr>
        <w:t xml:space="preserve"> </w:t>
      </w:r>
    </w:p>
    <w:p w14:paraId="22FF9231" w14:textId="77777777" w:rsidR="00C92751" w:rsidRPr="00F72BBC" w:rsidRDefault="00C92751" w:rsidP="00CA15A6">
      <w:pPr>
        <w:rPr>
          <w:rFonts w:asciiTheme="majorHAnsi" w:hAnsiTheme="majorHAnsi" w:cstheme="majorHAnsi"/>
          <w:sz w:val="22"/>
          <w:szCs w:val="22"/>
        </w:rPr>
      </w:pPr>
    </w:p>
    <w:p w14:paraId="1178CC37" w14:textId="5B3BF233" w:rsidR="00594F06" w:rsidRPr="00F72BBC" w:rsidRDefault="00594F06" w:rsidP="00FA6A5C">
      <w:pPr>
        <w:rPr>
          <w:rFonts w:asciiTheme="majorHAnsi" w:hAnsiTheme="majorHAnsi" w:cstheme="majorHAnsi"/>
          <w:sz w:val="22"/>
          <w:szCs w:val="22"/>
        </w:rPr>
      </w:pPr>
      <w:r w:rsidRPr="00F72BBC">
        <w:rPr>
          <w:rFonts w:asciiTheme="majorHAnsi" w:hAnsiTheme="majorHAnsi" w:cstheme="majorHAnsi"/>
          <w:sz w:val="22"/>
          <w:szCs w:val="22"/>
        </w:rPr>
        <w:t xml:space="preserve">Many of these trends are noticeable in all sectors but are more noticeable between the sectors. Aside from the importance of geolocation, they overwhelmingly </w:t>
      </w:r>
      <w:r w:rsidR="00F60F15" w:rsidRPr="00F72BBC">
        <w:rPr>
          <w:rFonts w:asciiTheme="majorHAnsi" w:hAnsiTheme="majorHAnsi" w:cstheme="majorHAnsi"/>
          <w:sz w:val="22"/>
          <w:szCs w:val="22"/>
        </w:rPr>
        <w:t>reflect</w:t>
      </w:r>
      <w:r w:rsidRPr="00F72BBC">
        <w:rPr>
          <w:rFonts w:asciiTheme="majorHAnsi" w:hAnsiTheme="majorHAnsi" w:cstheme="majorHAnsi"/>
          <w:sz w:val="22"/>
          <w:szCs w:val="22"/>
        </w:rPr>
        <w:t xml:space="preserve"> the variable capacity of </w:t>
      </w:r>
      <w:r w:rsidR="00F60F15" w:rsidRPr="00F72BBC">
        <w:rPr>
          <w:rFonts w:asciiTheme="majorHAnsi" w:hAnsiTheme="majorHAnsi" w:cstheme="majorHAnsi"/>
          <w:sz w:val="22"/>
          <w:szCs w:val="22"/>
        </w:rPr>
        <w:t xml:space="preserve">some </w:t>
      </w:r>
      <w:r w:rsidRPr="00F72BBC">
        <w:rPr>
          <w:rFonts w:asciiTheme="majorHAnsi" w:hAnsiTheme="majorHAnsi" w:cstheme="majorHAnsi"/>
          <w:sz w:val="22"/>
          <w:szCs w:val="22"/>
        </w:rPr>
        <w:t xml:space="preserve">schools to influence or control who enrols. A range of discriminators, especially including fees and enrolment tests, are available to some schools more than others. </w:t>
      </w:r>
    </w:p>
    <w:p w14:paraId="72B43503" w14:textId="77777777" w:rsidR="00454121" w:rsidRPr="00F72BBC" w:rsidRDefault="00454121" w:rsidP="00FA6A5C">
      <w:pPr>
        <w:rPr>
          <w:rFonts w:asciiTheme="majorHAnsi" w:hAnsiTheme="majorHAnsi" w:cstheme="majorHAnsi"/>
          <w:sz w:val="22"/>
          <w:szCs w:val="22"/>
        </w:rPr>
      </w:pPr>
    </w:p>
    <w:p w14:paraId="2441F9B9" w14:textId="0A2CDCA4" w:rsidR="008234DE" w:rsidRPr="00F72BBC" w:rsidRDefault="008234DE" w:rsidP="00FA6A5C">
      <w:pPr>
        <w:rPr>
          <w:rFonts w:asciiTheme="majorHAnsi" w:hAnsiTheme="majorHAnsi" w:cstheme="majorHAnsi"/>
          <w:sz w:val="22"/>
          <w:szCs w:val="22"/>
        </w:rPr>
      </w:pPr>
      <w:r w:rsidRPr="00F72BBC">
        <w:rPr>
          <w:rFonts w:asciiTheme="majorHAnsi" w:hAnsiTheme="majorHAnsi" w:cstheme="majorHAnsi"/>
          <w:sz w:val="22"/>
          <w:szCs w:val="22"/>
        </w:rPr>
        <w:t xml:space="preserve">Critically, these discriminators combine to shape the differences between schools in almost every locality in Australia. </w:t>
      </w:r>
      <w:r w:rsidR="00175630" w:rsidRPr="00F72BBC">
        <w:rPr>
          <w:rFonts w:asciiTheme="majorHAnsi" w:hAnsiTheme="majorHAnsi" w:cstheme="majorHAnsi"/>
          <w:sz w:val="22"/>
          <w:szCs w:val="22"/>
        </w:rPr>
        <w:t>It is ironic that while attention is focused on school funding</w:t>
      </w:r>
      <w:r w:rsidR="004B4AA6" w:rsidRPr="00F72BBC">
        <w:rPr>
          <w:rFonts w:asciiTheme="majorHAnsi" w:hAnsiTheme="majorHAnsi" w:cstheme="majorHAnsi"/>
          <w:sz w:val="22"/>
          <w:szCs w:val="22"/>
        </w:rPr>
        <w:t>,</w:t>
      </w:r>
      <w:r w:rsidR="00175630" w:rsidRPr="00F72BBC">
        <w:rPr>
          <w:rFonts w:asciiTheme="majorHAnsi" w:hAnsiTheme="majorHAnsi" w:cstheme="majorHAnsi"/>
          <w:sz w:val="22"/>
          <w:szCs w:val="22"/>
        </w:rPr>
        <w:t xml:space="preserve"> it is the most able and aspirant students which are the most important resource. </w:t>
      </w:r>
      <w:r w:rsidR="00CA15A6">
        <w:rPr>
          <w:rFonts w:asciiTheme="majorHAnsi" w:hAnsiTheme="majorHAnsi" w:cstheme="majorHAnsi"/>
          <w:sz w:val="22"/>
          <w:szCs w:val="22"/>
        </w:rPr>
        <w:t>Some</w:t>
      </w:r>
      <w:r w:rsidRPr="00F72BBC">
        <w:rPr>
          <w:rFonts w:asciiTheme="majorHAnsi" w:hAnsiTheme="majorHAnsi" w:cstheme="majorHAnsi"/>
          <w:sz w:val="22"/>
          <w:szCs w:val="22"/>
        </w:rPr>
        <w:t xml:space="preserve"> schools are able to either passively or actively engineer their enrolments and peer group</w:t>
      </w:r>
      <w:r w:rsidR="00BC45A4" w:rsidRPr="00F72BBC">
        <w:rPr>
          <w:rFonts w:asciiTheme="majorHAnsi" w:hAnsiTheme="majorHAnsi" w:cstheme="majorHAnsi"/>
          <w:sz w:val="22"/>
          <w:szCs w:val="22"/>
        </w:rPr>
        <w:t xml:space="preserve">. </w:t>
      </w:r>
    </w:p>
    <w:p w14:paraId="55433E4A" w14:textId="1731D104" w:rsidR="000006CF" w:rsidRDefault="000006CF">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1E681DDC" w14:textId="132B4E53" w:rsidR="000934C5" w:rsidRPr="00734CA7" w:rsidRDefault="000934C5" w:rsidP="000934C5">
      <w:pPr>
        <w:rPr>
          <w:rFonts w:asciiTheme="majorHAnsi" w:hAnsiTheme="majorHAnsi" w:cstheme="majorHAnsi"/>
          <w:color w:val="4383A9"/>
          <w:sz w:val="22"/>
          <w:szCs w:val="22"/>
        </w:rPr>
      </w:pPr>
      <w:r w:rsidRPr="00734CA7">
        <w:rPr>
          <w:rFonts w:asciiTheme="majorHAnsi" w:hAnsiTheme="majorHAnsi" w:cstheme="majorHAnsi"/>
          <w:color w:val="4383A9"/>
          <w:sz w:val="22"/>
          <w:szCs w:val="22"/>
        </w:rPr>
        <w:lastRenderedPageBreak/>
        <w:t xml:space="preserve">Looking forward, are there changes in the external environment or policy context that will affect these drivers? </w:t>
      </w:r>
    </w:p>
    <w:p w14:paraId="3837FDDA" w14:textId="77777777" w:rsidR="00BA0A75" w:rsidRPr="00734CA7" w:rsidRDefault="00BA0A75" w:rsidP="000934C5">
      <w:pPr>
        <w:rPr>
          <w:rFonts w:asciiTheme="majorHAnsi" w:hAnsiTheme="majorHAnsi" w:cstheme="majorHAnsi"/>
          <w:color w:val="4383A9"/>
          <w:sz w:val="22"/>
          <w:szCs w:val="22"/>
        </w:rPr>
      </w:pPr>
    </w:p>
    <w:p w14:paraId="5245375F" w14:textId="2B4901C2" w:rsidR="007528B0" w:rsidRPr="00CA15A6" w:rsidRDefault="00C4683D" w:rsidP="00C4683D">
      <w:pPr>
        <w:rPr>
          <w:rFonts w:asciiTheme="majorHAnsi" w:hAnsiTheme="majorHAnsi" w:cstheme="majorHAnsi"/>
          <w:sz w:val="22"/>
          <w:szCs w:val="22"/>
        </w:rPr>
      </w:pPr>
      <w:r w:rsidRPr="00CA15A6">
        <w:rPr>
          <w:rFonts w:asciiTheme="majorHAnsi" w:hAnsiTheme="majorHAnsi" w:cstheme="majorHAnsi"/>
          <w:sz w:val="22"/>
          <w:szCs w:val="22"/>
        </w:rPr>
        <w:t xml:space="preserve">The biggest change </w:t>
      </w:r>
      <w:r w:rsidR="00E74E91" w:rsidRPr="00CA15A6">
        <w:rPr>
          <w:rFonts w:asciiTheme="majorHAnsi" w:hAnsiTheme="majorHAnsi" w:cstheme="majorHAnsi"/>
          <w:sz w:val="22"/>
          <w:szCs w:val="22"/>
        </w:rPr>
        <w:t xml:space="preserve">in the policy context </w:t>
      </w:r>
      <w:r w:rsidR="00463FD1" w:rsidRPr="00CA15A6">
        <w:rPr>
          <w:rFonts w:asciiTheme="majorHAnsi" w:hAnsiTheme="majorHAnsi" w:cstheme="majorHAnsi"/>
          <w:sz w:val="22"/>
          <w:szCs w:val="22"/>
        </w:rPr>
        <w:t>is</w:t>
      </w:r>
      <w:r w:rsidR="00E74E91" w:rsidRPr="00CA15A6">
        <w:rPr>
          <w:rFonts w:asciiTheme="majorHAnsi" w:hAnsiTheme="majorHAnsi" w:cstheme="majorHAnsi"/>
          <w:sz w:val="22"/>
          <w:szCs w:val="22"/>
        </w:rPr>
        <w:t xml:space="preserve"> the increased funding of non-government schools. Governments (plural) have become equivalent stakeholders, in recurrent funding terms, in both government and non-government schools. This is illustrated in the table below.  </w:t>
      </w:r>
    </w:p>
    <w:p w14:paraId="3467B886" w14:textId="77777777" w:rsidR="007528B0" w:rsidRPr="00CA15A6" w:rsidRDefault="007528B0" w:rsidP="00C4683D">
      <w:pPr>
        <w:rPr>
          <w:rFonts w:asciiTheme="majorHAnsi" w:eastAsia="Arial Narrow" w:hAnsiTheme="majorHAnsi" w:cstheme="majorHAnsi"/>
        </w:rPr>
      </w:pPr>
    </w:p>
    <w:p w14:paraId="2A458841" w14:textId="446A1300" w:rsidR="00C4683D" w:rsidRPr="00CA15A6" w:rsidRDefault="00C4683D" w:rsidP="00C4683D">
      <w:pPr>
        <w:rPr>
          <w:rFonts w:asciiTheme="majorHAnsi" w:eastAsia="Arial Narrow" w:hAnsiTheme="majorHAnsi" w:cstheme="majorHAnsi"/>
        </w:rPr>
      </w:pPr>
      <w:r w:rsidRPr="00CA15A6">
        <w:rPr>
          <w:rFonts w:asciiTheme="majorHAnsi" w:eastAsia="Arial Narrow" w:hAnsiTheme="majorHAnsi" w:cstheme="majorHAnsi"/>
        </w:rPr>
        <w:t>Government recurrent funding per-student by sector/ICSEA bands</w:t>
      </w:r>
    </w:p>
    <w:tbl>
      <w:tblPr>
        <w:tblStyle w:val="6"/>
        <w:tblpPr w:leftFromText="180" w:rightFromText="180" w:vertAnchor="text" w:horzAnchor="margin" w:tblpY="174"/>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992"/>
        <w:gridCol w:w="1134"/>
        <w:gridCol w:w="1134"/>
        <w:gridCol w:w="1559"/>
      </w:tblGrid>
      <w:tr w:rsidR="00C4683D" w:rsidRPr="00BA0A75" w14:paraId="27CBB37E" w14:textId="77777777" w:rsidTr="00083C62">
        <w:tc>
          <w:tcPr>
            <w:tcW w:w="1129" w:type="dxa"/>
          </w:tcPr>
          <w:p w14:paraId="4888FFC0"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ICSEA category</w:t>
            </w:r>
          </w:p>
        </w:tc>
        <w:tc>
          <w:tcPr>
            <w:tcW w:w="1560" w:type="dxa"/>
          </w:tcPr>
          <w:p w14:paraId="4AC8564B"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Sector</w:t>
            </w:r>
          </w:p>
        </w:tc>
        <w:tc>
          <w:tcPr>
            <w:tcW w:w="992" w:type="dxa"/>
          </w:tcPr>
          <w:p w14:paraId="02A36A85"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Median govt funding</w:t>
            </w:r>
          </w:p>
        </w:tc>
        <w:tc>
          <w:tcPr>
            <w:tcW w:w="1134" w:type="dxa"/>
          </w:tcPr>
          <w:p w14:paraId="523A19AD"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 of $ to gov schools</w:t>
            </w:r>
          </w:p>
        </w:tc>
        <w:tc>
          <w:tcPr>
            <w:tcW w:w="1134" w:type="dxa"/>
          </w:tcPr>
          <w:p w14:paraId="19F7E5E2"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Median govt funding</w:t>
            </w:r>
          </w:p>
        </w:tc>
        <w:tc>
          <w:tcPr>
            <w:tcW w:w="1559" w:type="dxa"/>
          </w:tcPr>
          <w:p w14:paraId="563AC606"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 of $ to gov schools</w:t>
            </w:r>
          </w:p>
        </w:tc>
      </w:tr>
      <w:tr w:rsidR="00C4683D" w:rsidRPr="00BA0A75" w14:paraId="7A46CFCD" w14:textId="77777777" w:rsidTr="00C92751">
        <w:tc>
          <w:tcPr>
            <w:tcW w:w="1129" w:type="dxa"/>
          </w:tcPr>
          <w:p w14:paraId="4CB19E0C" w14:textId="77777777" w:rsidR="00C4683D" w:rsidRPr="00BA0A75" w:rsidRDefault="00C4683D" w:rsidP="00A30850">
            <w:pPr>
              <w:rPr>
                <w:rFonts w:asciiTheme="minorHAnsi" w:eastAsia="Arial Narrow" w:hAnsiTheme="minorHAnsi" w:cstheme="minorHAnsi"/>
                <w:b/>
              </w:rPr>
            </w:pPr>
          </w:p>
        </w:tc>
        <w:tc>
          <w:tcPr>
            <w:tcW w:w="1560" w:type="dxa"/>
          </w:tcPr>
          <w:p w14:paraId="550911D1" w14:textId="77777777" w:rsidR="00C4683D" w:rsidRPr="00BA0A75" w:rsidRDefault="00C4683D" w:rsidP="00A30850">
            <w:pPr>
              <w:rPr>
                <w:rFonts w:asciiTheme="minorHAnsi" w:eastAsia="Arial Narrow" w:hAnsiTheme="minorHAnsi" w:cstheme="minorHAnsi"/>
                <w:b/>
              </w:rPr>
            </w:pPr>
          </w:p>
        </w:tc>
        <w:tc>
          <w:tcPr>
            <w:tcW w:w="2126" w:type="dxa"/>
            <w:gridSpan w:val="2"/>
          </w:tcPr>
          <w:p w14:paraId="57FD6880"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2011</w:t>
            </w:r>
          </w:p>
        </w:tc>
        <w:tc>
          <w:tcPr>
            <w:tcW w:w="2693" w:type="dxa"/>
            <w:gridSpan w:val="2"/>
          </w:tcPr>
          <w:p w14:paraId="2F9ECDB8"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2018</w:t>
            </w:r>
          </w:p>
        </w:tc>
      </w:tr>
      <w:tr w:rsidR="00C4683D" w:rsidRPr="00BA0A75" w14:paraId="5D7742D3" w14:textId="77777777" w:rsidTr="00083C62">
        <w:tc>
          <w:tcPr>
            <w:tcW w:w="1129" w:type="dxa"/>
            <w:vMerge w:val="restart"/>
          </w:tcPr>
          <w:p w14:paraId="099EE203"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 xml:space="preserve">ICSEA </w:t>
            </w:r>
          </w:p>
          <w:p w14:paraId="2F514E5B"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950-999</w:t>
            </w:r>
          </w:p>
        </w:tc>
        <w:tc>
          <w:tcPr>
            <w:tcW w:w="1560" w:type="dxa"/>
            <w:shd w:val="clear" w:color="auto" w:fill="F2DCDB"/>
          </w:tcPr>
          <w:p w14:paraId="5D37B48D"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3D16679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11,017</w:t>
            </w:r>
          </w:p>
        </w:tc>
        <w:tc>
          <w:tcPr>
            <w:tcW w:w="1134" w:type="dxa"/>
            <w:shd w:val="clear" w:color="auto" w:fill="F2DCDB"/>
          </w:tcPr>
          <w:p w14:paraId="1F916BBE"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28DF27F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14,270</w:t>
            </w:r>
          </w:p>
        </w:tc>
        <w:tc>
          <w:tcPr>
            <w:tcW w:w="1559" w:type="dxa"/>
            <w:shd w:val="clear" w:color="auto" w:fill="F2DCDB"/>
          </w:tcPr>
          <w:p w14:paraId="140D4E08"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6A9E76D4" w14:textId="77777777" w:rsidTr="00083C62">
        <w:tc>
          <w:tcPr>
            <w:tcW w:w="1129" w:type="dxa"/>
            <w:vMerge/>
          </w:tcPr>
          <w:p w14:paraId="434B8227"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42CCE26B"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4916EAF4"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10,383</w:t>
            </w:r>
          </w:p>
        </w:tc>
        <w:tc>
          <w:tcPr>
            <w:tcW w:w="1134" w:type="dxa"/>
            <w:shd w:val="clear" w:color="auto" w:fill="EBF1DD"/>
          </w:tcPr>
          <w:p w14:paraId="0F40627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94.2%</w:t>
            </w:r>
          </w:p>
        </w:tc>
        <w:tc>
          <w:tcPr>
            <w:tcW w:w="1134" w:type="dxa"/>
            <w:shd w:val="clear" w:color="auto" w:fill="EBF1DD"/>
          </w:tcPr>
          <w:p w14:paraId="340D4DB0"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15,536</w:t>
            </w:r>
          </w:p>
        </w:tc>
        <w:tc>
          <w:tcPr>
            <w:tcW w:w="1559" w:type="dxa"/>
            <w:shd w:val="clear" w:color="auto" w:fill="EBF1DD"/>
          </w:tcPr>
          <w:p w14:paraId="7D6A1B19"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108.9%</w:t>
            </w:r>
          </w:p>
        </w:tc>
      </w:tr>
      <w:tr w:rsidR="00C4683D" w:rsidRPr="00BA0A75" w14:paraId="0C5973C6" w14:textId="77777777" w:rsidTr="00083C62">
        <w:tc>
          <w:tcPr>
            <w:tcW w:w="1129" w:type="dxa"/>
            <w:vMerge/>
          </w:tcPr>
          <w:p w14:paraId="5C41A0D2"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5CC37127"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50D8CF5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9,445</w:t>
            </w:r>
          </w:p>
        </w:tc>
        <w:tc>
          <w:tcPr>
            <w:tcW w:w="1134" w:type="dxa"/>
            <w:shd w:val="clear" w:color="auto" w:fill="DBE5F1"/>
          </w:tcPr>
          <w:p w14:paraId="28972535"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85.7%</w:t>
            </w:r>
          </w:p>
        </w:tc>
        <w:tc>
          <w:tcPr>
            <w:tcW w:w="1134" w:type="dxa"/>
            <w:shd w:val="clear" w:color="auto" w:fill="DBE5F1"/>
          </w:tcPr>
          <w:p w14:paraId="497B2B9C"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14,896</w:t>
            </w:r>
          </w:p>
        </w:tc>
        <w:tc>
          <w:tcPr>
            <w:tcW w:w="1559" w:type="dxa"/>
            <w:shd w:val="clear" w:color="auto" w:fill="DBE5F1"/>
          </w:tcPr>
          <w:p w14:paraId="1544D2D8"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104.4%</w:t>
            </w:r>
          </w:p>
        </w:tc>
      </w:tr>
      <w:tr w:rsidR="00C4683D" w:rsidRPr="00BA0A75" w14:paraId="20593B7B" w14:textId="77777777" w:rsidTr="00083C62">
        <w:tc>
          <w:tcPr>
            <w:tcW w:w="1129" w:type="dxa"/>
            <w:vMerge w:val="restart"/>
          </w:tcPr>
          <w:p w14:paraId="5EBB3B75"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 xml:space="preserve">ICSEA </w:t>
            </w:r>
          </w:p>
          <w:p w14:paraId="4FE4F11D"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1000-1049</w:t>
            </w:r>
          </w:p>
        </w:tc>
        <w:tc>
          <w:tcPr>
            <w:tcW w:w="1560" w:type="dxa"/>
            <w:shd w:val="clear" w:color="auto" w:fill="F2DCDB"/>
          </w:tcPr>
          <w:p w14:paraId="1D02B7CF"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0C52449D"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10,323</w:t>
            </w:r>
          </w:p>
        </w:tc>
        <w:tc>
          <w:tcPr>
            <w:tcW w:w="1134" w:type="dxa"/>
            <w:shd w:val="clear" w:color="auto" w:fill="F2DCDB"/>
          </w:tcPr>
          <w:p w14:paraId="4B1EE84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7BC253FE"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12,888</w:t>
            </w:r>
          </w:p>
        </w:tc>
        <w:tc>
          <w:tcPr>
            <w:tcW w:w="1559" w:type="dxa"/>
            <w:shd w:val="clear" w:color="auto" w:fill="F2DCDB"/>
          </w:tcPr>
          <w:p w14:paraId="691D33CD"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2BFB0CE8" w14:textId="77777777" w:rsidTr="00083C62">
        <w:tc>
          <w:tcPr>
            <w:tcW w:w="1129" w:type="dxa"/>
            <w:vMerge/>
          </w:tcPr>
          <w:p w14:paraId="1A4BA8C4"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63961AD4"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109016A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9,044</w:t>
            </w:r>
          </w:p>
        </w:tc>
        <w:tc>
          <w:tcPr>
            <w:tcW w:w="1134" w:type="dxa"/>
            <w:shd w:val="clear" w:color="auto" w:fill="EBF1DD"/>
          </w:tcPr>
          <w:p w14:paraId="02C0C94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87.6%</w:t>
            </w:r>
          </w:p>
        </w:tc>
        <w:tc>
          <w:tcPr>
            <w:tcW w:w="1134" w:type="dxa"/>
            <w:shd w:val="clear" w:color="auto" w:fill="EBF1DD"/>
          </w:tcPr>
          <w:p w14:paraId="38F65168"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12,988</w:t>
            </w:r>
          </w:p>
        </w:tc>
        <w:tc>
          <w:tcPr>
            <w:tcW w:w="1559" w:type="dxa"/>
            <w:shd w:val="clear" w:color="auto" w:fill="EBF1DD"/>
          </w:tcPr>
          <w:p w14:paraId="5C9DC77E"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100.8%</w:t>
            </w:r>
          </w:p>
        </w:tc>
      </w:tr>
      <w:tr w:rsidR="00C4683D" w:rsidRPr="00BA0A75" w14:paraId="0136E8D4" w14:textId="77777777" w:rsidTr="00083C62">
        <w:tc>
          <w:tcPr>
            <w:tcW w:w="1129" w:type="dxa"/>
            <w:vMerge/>
          </w:tcPr>
          <w:p w14:paraId="592AFBD8"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610C65F5"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33B055B3"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8,705</w:t>
            </w:r>
          </w:p>
        </w:tc>
        <w:tc>
          <w:tcPr>
            <w:tcW w:w="1134" w:type="dxa"/>
            <w:shd w:val="clear" w:color="auto" w:fill="DBE5F1"/>
          </w:tcPr>
          <w:p w14:paraId="0ED48ADF"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84.3%</w:t>
            </w:r>
          </w:p>
        </w:tc>
        <w:tc>
          <w:tcPr>
            <w:tcW w:w="1134" w:type="dxa"/>
            <w:shd w:val="clear" w:color="auto" w:fill="DBE5F1"/>
          </w:tcPr>
          <w:p w14:paraId="0AE0547F"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12,951</w:t>
            </w:r>
          </w:p>
        </w:tc>
        <w:tc>
          <w:tcPr>
            <w:tcW w:w="1559" w:type="dxa"/>
            <w:shd w:val="clear" w:color="auto" w:fill="DBE5F1"/>
          </w:tcPr>
          <w:p w14:paraId="5B164A8D"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100.5%</w:t>
            </w:r>
          </w:p>
        </w:tc>
      </w:tr>
      <w:tr w:rsidR="00C4683D" w:rsidRPr="00BA0A75" w14:paraId="4654F6B8" w14:textId="77777777" w:rsidTr="00083C62">
        <w:tc>
          <w:tcPr>
            <w:tcW w:w="1129" w:type="dxa"/>
            <w:vMerge w:val="restart"/>
          </w:tcPr>
          <w:p w14:paraId="328ECC2E" w14:textId="75A88F72" w:rsidR="00C4683D" w:rsidRPr="00BA0A75" w:rsidRDefault="00083C62" w:rsidP="00A30850">
            <w:pPr>
              <w:rPr>
                <w:rFonts w:asciiTheme="minorHAnsi" w:eastAsia="Arial Narrow" w:hAnsiTheme="minorHAnsi" w:cstheme="minorHAnsi"/>
                <w:b/>
              </w:rPr>
            </w:pPr>
            <w:r>
              <w:rPr>
                <w:rFonts w:asciiTheme="minorHAnsi" w:eastAsia="Arial Narrow" w:hAnsiTheme="minorHAnsi" w:cstheme="minorHAnsi"/>
                <w:b/>
              </w:rPr>
              <w:br/>
            </w:r>
            <w:r w:rsidR="00C4683D" w:rsidRPr="00BA0A75">
              <w:rPr>
                <w:rFonts w:asciiTheme="minorHAnsi" w:eastAsia="Arial Narrow" w:hAnsiTheme="minorHAnsi" w:cstheme="minorHAnsi"/>
                <w:b/>
              </w:rPr>
              <w:t xml:space="preserve">ICSEA </w:t>
            </w:r>
          </w:p>
          <w:p w14:paraId="2B3BDF46"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1050-1099</w:t>
            </w:r>
          </w:p>
        </w:tc>
        <w:tc>
          <w:tcPr>
            <w:tcW w:w="1560" w:type="dxa"/>
            <w:shd w:val="clear" w:color="auto" w:fill="F2DCDB"/>
          </w:tcPr>
          <w:p w14:paraId="32F14840"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6D6D89D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9,704</w:t>
            </w:r>
          </w:p>
        </w:tc>
        <w:tc>
          <w:tcPr>
            <w:tcW w:w="1134" w:type="dxa"/>
            <w:shd w:val="clear" w:color="auto" w:fill="F2DCDB"/>
          </w:tcPr>
          <w:p w14:paraId="1E4DE35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2D178E4C"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11,630</w:t>
            </w:r>
          </w:p>
        </w:tc>
        <w:tc>
          <w:tcPr>
            <w:tcW w:w="1559" w:type="dxa"/>
            <w:shd w:val="clear" w:color="auto" w:fill="F2DCDB"/>
          </w:tcPr>
          <w:p w14:paraId="7BBABF97"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1724F7AF" w14:textId="77777777" w:rsidTr="00083C62">
        <w:tc>
          <w:tcPr>
            <w:tcW w:w="1129" w:type="dxa"/>
            <w:vMerge/>
          </w:tcPr>
          <w:p w14:paraId="4489DC37"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77D20EFB"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5095ADB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8,105</w:t>
            </w:r>
          </w:p>
        </w:tc>
        <w:tc>
          <w:tcPr>
            <w:tcW w:w="1134" w:type="dxa"/>
            <w:shd w:val="clear" w:color="auto" w:fill="EBF1DD"/>
          </w:tcPr>
          <w:p w14:paraId="1935388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83.5%</w:t>
            </w:r>
          </w:p>
        </w:tc>
        <w:tc>
          <w:tcPr>
            <w:tcW w:w="1134" w:type="dxa"/>
            <w:shd w:val="clear" w:color="auto" w:fill="EBF1DD"/>
          </w:tcPr>
          <w:p w14:paraId="29C6ECC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10,966</w:t>
            </w:r>
          </w:p>
        </w:tc>
        <w:tc>
          <w:tcPr>
            <w:tcW w:w="1559" w:type="dxa"/>
            <w:shd w:val="clear" w:color="auto" w:fill="EBF1DD"/>
          </w:tcPr>
          <w:p w14:paraId="4F76AF03"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94.3%</w:t>
            </w:r>
          </w:p>
        </w:tc>
      </w:tr>
      <w:tr w:rsidR="00CA15A6" w:rsidRPr="00BA0A75" w14:paraId="66C5CA44" w14:textId="77777777" w:rsidTr="00083C62">
        <w:tc>
          <w:tcPr>
            <w:tcW w:w="1129" w:type="dxa"/>
            <w:vMerge/>
          </w:tcPr>
          <w:p w14:paraId="7AE45780" w14:textId="77777777" w:rsidR="00CA15A6" w:rsidRPr="00BA0A75" w:rsidRDefault="00CA15A6"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24FDB313" w14:textId="77777777" w:rsidR="00CA15A6" w:rsidRPr="00BA0A75" w:rsidRDefault="00CA15A6" w:rsidP="00A30850">
            <w:pPr>
              <w:rPr>
                <w:rFonts w:asciiTheme="minorHAnsi" w:eastAsia="Arial Narrow" w:hAnsiTheme="minorHAnsi" w:cstheme="minorHAnsi"/>
              </w:rPr>
            </w:pPr>
          </w:p>
        </w:tc>
        <w:tc>
          <w:tcPr>
            <w:tcW w:w="992" w:type="dxa"/>
            <w:shd w:val="clear" w:color="auto" w:fill="EBF1DD"/>
          </w:tcPr>
          <w:p w14:paraId="33CBB732" w14:textId="77777777" w:rsidR="00CA15A6" w:rsidRPr="00BA0A75" w:rsidRDefault="00CA15A6" w:rsidP="00A30850">
            <w:pPr>
              <w:jc w:val="right"/>
              <w:rPr>
                <w:rFonts w:asciiTheme="minorHAnsi" w:eastAsia="Arial Narrow" w:hAnsiTheme="minorHAnsi" w:cstheme="minorHAnsi"/>
              </w:rPr>
            </w:pPr>
          </w:p>
        </w:tc>
        <w:tc>
          <w:tcPr>
            <w:tcW w:w="1134" w:type="dxa"/>
            <w:shd w:val="clear" w:color="auto" w:fill="EBF1DD"/>
          </w:tcPr>
          <w:p w14:paraId="293FC418" w14:textId="77777777" w:rsidR="00CA15A6" w:rsidRPr="00BA0A75" w:rsidRDefault="00CA15A6" w:rsidP="00A30850">
            <w:pPr>
              <w:jc w:val="right"/>
              <w:rPr>
                <w:rFonts w:asciiTheme="minorHAnsi" w:eastAsia="Arial Narrow" w:hAnsiTheme="minorHAnsi" w:cstheme="minorHAnsi"/>
              </w:rPr>
            </w:pPr>
          </w:p>
        </w:tc>
        <w:tc>
          <w:tcPr>
            <w:tcW w:w="1134" w:type="dxa"/>
            <w:shd w:val="clear" w:color="auto" w:fill="EBF1DD"/>
          </w:tcPr>
          <w:p w14:paraId="0E5298C6" w14:textId="77777777" w:rsidR="00CA15A6" w:rsidRPr="00BA0A75" w:rsidRDefault="00CA15A6" w:rsidP="00A30850">
            <w:pPr>
              <w:jc w:val="right"/>
              <w:rPr>
                <w:rFonts w:asciiTheme="minorHAnsi" w:eastAsia="Arial Narrow" w:hAnsiTheme="minorHAnsi" w:cstheme="minorHAnsi"/>
              </w:rPr>
            </w:pPr>
          </w:p>
        </w:tc>
        <w:tc>
          <w:tcPr>
            <w:tcW w:w="1559" w:type="dxa"/>
            <w:shd w:val="clear" w:color="auto" w:fill="EBF1DD"/>
          </w:tcPr>
          <w:p w14:paraId="11BBA56C" w14:textId="77777777" w:rsidR="00CA15A6" w:rsidRPr="00BA0A75" w:rsidRDefault="00CA15A6" w:rsidP="00A30850">
            <w:pPr>
              <w:jc w:val="right"/>
              <w:rPr>
                <w:rFonts w:asciiTheme="minorHAnsi" w:eastAsia="Arial Narrow" w:hAnsiTheme="minorHAnsi" w:cstheme="minorHAnsi"/>
                <w:b/>
                <w:bCs/>
              </w:rPr>
            </w:pPr>
          </w:p>
        </w:tc>
      </w:tr>
      <w:tr w:rsidR="00C4683D" w:rsidRPr="00BA0A75" w14:paraId="016C0E0D" w14:textId="77777777" w:rsidTr="00083C62">
        <w:tc>
          <w:tcPr>
            <w:tcW w:w="1129" w:type="dxa"/>
            <w:vMerge/>
          </w:tcPr>
          <w:p w14:paraId="003EB624"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00DE3416"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6780DB86"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7,909</w:t>
            </w:r>
          </w:p>
        </w:tc>
        <w:tc>
          <w:tcPr>
            <w:tcW w:w="1134" w:type="dxa"/>
            <w:shd w:val="clear" w:color="auto" w:fill="DBE5F1"/>
          </w:tcPr>
          <w:p w14:paraId="5572A05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81.5%</w:t>
            </w:r>
          </w:p>
        </w:tc>
        <w:tc>
          <w:tcPr>
            <w:tcW w:w="1134" w:type="dxa"/>
            <w:shd w:val="clear" w:color="auto" w:fill="DBE5F1"/>
          </w:tcPr>
          <w:p w14:paraId="297E4E60"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11,259</w:t>
            </w:r>
          </w:p>
        </w:tc>
        <w:tc>
          <w:tcPr>
            <w:tcW w:w="1559" w:type="dxa"/>
            <w:shd w:val="clear" w:color="auto" w:fill="DBE5F1"/>
          </w:tcPr>
          <w:p w14:paraId="6D917CC2"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96.8%</w:t>
            </w:r>
          </w:p>
        </w:tc>
      </w:tr>
    </w:tbl>
    <w:p w14:paraId="2963A7AB" w14:textId="77777777" w:rsidR="00C4683D" w:rsidRPr="00BA0A75" w:rsidRDefault="00C4683D" w:rsidP="00C4683D">
      <w:pPr>
        <w:rPr>
          <w:rFonts w:asciiTheme="minorHAnsi" w:eastAsia="Arial Narrow" w:hAnsiTheme="minorHAnsi" w:cstheme="minorHAnsi"/>
        </w:rPr>
      </w:pPr>
      <w:r w:rsidRPr="00BA0A75">
        <w:rPr>
          <w:rFonts w:asciiTheme="minorHAnsi" w:hAnsiTheme="minorHAnsi" w:cstheme="minorHAnsi"/>
        </w:rPr>
        <w:t xml:space="preserve">           </w:t>
      </w:r>
    </w:p>
    <w:p w14:paraId="6F2425A2" w14:textId="77777777" w:rsidR="00C4683D" w:rsidRPr="00BA0A75" w:rsidRDefault="00C4683D" w:rsidP="00C4683D">
      <w:pPr>
        <w:rPr>
          <w:rFonts w:asciiTheme="minorHAnsi" w:eastAsia="Arial Narrow" w:hAnsiTheme="minorHAnsi" w:cstheme="minorHAnsi"/>
        </w:rPr>
      </w:pPr>
    </w:p>
    <w:p w14:paraId="58C4AD60" w14:textId="77777777" w:rsidR="00C4683D" w:rsidRPr="00BA0A75" w:rsidRDefault="00C4683D" w:rsidP="00C4683D">
      <w:pPr>
        <w:rPr>
          <w:rFonts w:asciiTheme="minorHAnsi" w:hAnsiTheme="minorHAnsi" w:cstheme="minorHAnsi"/>
        </w:rPr>
      </w:pPr>
    </w:p>
    <w:p w14:paraId="0C3C254D" w14:textId="77777777" w:rsidR="00C4683D" w:rsidRPr="00BA0A75" w:rsidRDefault="00C4683D" w:rsidP="00C4683D">
      <w:pPr>
        <w:rPr>
          <w:rFonts w:asciiTheme="minorHAnsi" w:hAnsiTheme="minorHAnsi" w:cstheme="minorHAnsi"/>
        </w:rPr>
      </w:pPr>
    </w:p>
    <w:p w14:paraId="7A6FC440" w14:textId="77777777" w:rsidR="00C4683D" w:rsidRPr="00BA0A75" w:rsidRDefault="00C4683D" w:rsidP="00C4683D">
      <w:pPr>
        <w:rPr>
          <w:rFonts w:asciiTheme="minorHAnsi" w:hAnsiTheme="minorHAnsi" w:cstheme="minorHAnsi"/>
        </w:rPr>
      </w:pPr>
    </w:p>
    <w:p w14:paraId="2CC8BDD1" w14:textId="77777777" w:rsidR="00C4683D" w:rsidRPr="00BA0A75" w:rsidRDefault="00C4683D" w:rsidP="00C4683D">
      <w:pPr>
        <w:rPr>
          <w:rFonts w:asciiTheme="minorHAnsi" w:hAnsiTheme="minorHAnsi" w:cstheme="minorHAnsi"/>
        </w:rPr>
      </w:pPr>
    </w:p>
    <w:p w14:paraId="136EC5CC" w14:textId="77777777" w:rsidR="00C4683D" w:rsidRPr="00BA0A75" w:rsidRDefault="00C4683D" w:rsidP="00C4683D">
      <w:pPr>
        <w:rPr>
          <w:rFonts w:asciiTheme="minorHAnsi" w:hAnsiTheme="minorHAnsi" w:cstheme="minorHAnsi"/>
        </w:rPr>
      </w:pPr>
    </w:p>
    <w:p w14:paraId="5097068C" w14:textId="77777777" w:rsidR="00CA15A6" w:rsidRDefault="00CA15A6" w:rsidP="00C8311C">
      <w:pPr>
        <w:rPr>
          <w:rFonts w:asciiTheme="minorHAnsi" w:eastAsia="Arial Narrow" w:hAnsiTheme="minorHAnsi" w:cstheme="minorHAnsi"/>
          <w:sz w:val="20"/>
          <w:szCs w:val="20"/>
        </w:rPr>
      </w:pPr>
    </w:p>
    <w:p w14:paraId="3E9A5FCA" w14:textId="77777777" w:rsidR="00CA15A6" w:rsidRDefault="00CA15A6" w:rsidP="00C8311C">
      <w:pPr>
        <w:rPr>
          <w:rFonts w:asciiTheme="minorHAnsi" w:eastAsia="Arial Narrow" w:hAnsiTheme="minorHAnsi" w:cstheme="minorHAnsi"/>
          <w:sz w:val="20"/>
          <w:szCs w:val="20"/>
        </w:rPr>
      </w:pPr>
    </w:p>
    <w:p w14:paraId="6280018E" w14:textId="77777777" w:rsidR="00CA15A6" w:rsidRDefault="00CA15A6" w:rsidP="00C8311C">
      <w:pPr>
        <w:rPr>
          <w:rFonts w:asciiTheme="minorHAnsi" w:eastAsia="Arial Narrow" w:hAnsiTheme="minorHAnsi" w:cstheme="minorHAnsi"/>
          <w:sz w:val="20"/>
          <w:szCs w:val="20"/>
        </w:rPr>
      </w:pPr>
    </w:p>
    <w:p w14:paraId="21A35F5C" w14:textId="77777777" w:rsidR="00CA15A6" w:rsidRDefault="00CA15A6" w:rsidP="00C8311C">
      <w:pPr>
        <w:rPr>
          <w:rFonts w:asciiTheme="minorHAnsi" w:eastAsia="Arial Narrow" w:hAnsiTheme="minorHAnsi" w:cstheme="minorHAnsi"/>
          <w:sz w:val="20"/>
          <w:szCs w:val="20"/>
        </w:rPr>
      </w:pPr>
    </w:p>
    <w:p w14:paraId="4E8713B6" w14:textId="77777777" w:rsidR="00CA15A6" w:rsidRDefault="00CA15A6" w:rsidP="00C8311C">
      <w:pPr>
        <w:rPr>
          <w:rFonts w:asciiTheme="minorHAnsi" w:eastAsia="Arial Narrow" w:hAnsiTheme="minorHAnsi" w:cstheme="minorHAnsi"/>
          <w:sz w:val="20"/>
          <w:szCs w:val="20"/>
        </w:rPr>
      </w:pPr>
    </w:p>
    <w:p w14:paraId="7BB5D3B3" w14:textId="77777777" w:rsidR="00CA15A6" w:rsidRDefault="00CA15A6" w:rsidP="00C8311C">
      <w:pPr>
        <w:rPr>
          <w:rFonts w:asciiTheme="minorHAnsi" w:eastAsia="Arial Narrow" w:hAnsiTheme="minorHAnsi" w:cstheme="minorHAnsi"/>
          <w:sz w:val="20"/>
          <w:szCs w:val="20"/>
        </w:rPr>
      </w:pPr>
    </w:p>
    <w:p w14:paraId="2AA2FB0D" w14:textId="77777777" w:rsidR="00CA15A6" w:rsidRDefault="00CA15A6" w:rsidP="00C8311C">
      <w:pPr>
        <w:rPr>
          <w:rFonts w:asciiTheme="minorHAnsi" w:eastAsia="Arial Narrow" w:hAnsiTheme="minorHAnsi" w:cstheme="minorHAnsi"/>
          <w:sz w:val="20"/>
          <w:szCs w:val="20"/>
        </w:rPr>
      </w:pPr>
    </w:p>
    <w:p w14:paraId="315054AC" w14:textId="77777777" w:rsidR="00CA15A6" w:rsidRDefault="00CA15A6" w:rsidP="00C8311C">
      <w:pPr>
        <w:rPr>
          <w:rFonts w:asciiTheme="minorHAnsi" w:eastAsia="Arial Narrow" w:hAnsiTheme="minorHAnsi" w:cstheme="minorHAnsi"/>
          <w:sz w:val="20"/>
          <w:szCs w:val="20"/>
        </w:rPr>
      </w:pPr>
    </w:p>
    <w:p w14:paraId="61FAE3BC" w14:textId="77777777" w:rsidR="00CA15A6" w:rsidRDefault="00CA15A6" w:rsidP="00C8311C">
      <w:pPr>
        <w:rPr>
          <w:rFonts w:asciiTheme="minorHAnsi" w:eastAsia="Arial Narrow" w:hAnsiTheme="minorHAnsi" w:cstheme="minorHAnsi"/>
          <w:sz w:val="20"/>
          <w:szCs w:val="20"/>
        </w:rPr>
      </w:pPr>
    </w:p>
    <w:p w14:paraId="1528711D" w14:textId="77777777" w:rsidR="00CA15A6" w:rsidRDefault="00CA15A6" w:rsidP="00C8311C">
      <w:pPr>
        <w:rPr>
          <w:rFonts w:asciiTheme="minorHAnsi" w:eastAsia="Arial Narrow" w:hAnsiTheme="minorHAnsi" w:cstheme="minorHAnsi"/>
          <w:sz w:val="20"/>
          <w:szCs w:val="20"/>
        </w:rPr>
      </w:pPr>
    </w:p>
    <w:p w14:paraId="71D6FF66" w14:textId="70FF81EE" w:rsidR="00083C62" w:rsidRDefault="00C4683D" w:rsidP="00C8311C">
      <w:pPr>
        <w:rPr>
          <w:rFonts w:asciiTheme="minorHAnsi" w:hAnsiTheme="minorHAnsi" w:cstheme="minorHAnsi"/>
        </w:rPr>
      </w:pPr>
      <w:r w:rsidRPr="00BA0A75">
        <w:rPr>
          <w:rFonts w:asciiTheme="minorHAnsi" w:eastAsia="Arial Narrow" w:hAnsiTheme="minorHAnsi" w:cstheme="minorHAnsi"/>
          <w:sz w:val="20"/>
          <w:szCs w:val="20"/>
        </w:rPr>
        <w:t>Source: My School, 2011 and 2018.</w:t>
      </w:r>
      <w:r w:rsidR="00BA0A75">
        <w:rPr>
          <w:rFonts w:asciiTheme="minorHAnsi" w:hAnsiTheme="minorHAnsi" w:cstheme="minorHAnsi"/>
        </w:rPr>
        <w:br/>
      </w:r>
      <w:r w:rsidR="00BA0A75">
        <w:rPr>
          <w:rFonts w:asciiTheme="minorHAnsi" w:hAnsiTheme="minorHAnsi" w:cstheme="minorHAnsi"/>
        </w:rPr>
        <w:br/>
      </w:r>
    </w:p>
    <w:p w14:paraId="7236AC4F" w14:textId="4B881D82" w:rsidR="00976D08" w:rsidRDefault="00C8311C" w:rsidP="00C8311C">
      <w:pPr>
        <w:rPr>
          <w:rFonts w:asciiTheme="majorHAnsi" w:hAnsiTheme="majorHAnsi" w:cstheme="majorHAnsi"/>
          <w:sz w:val="22"/>
          <w:szCs w:val="22"/>
        </w:rPr>
      </w:pPr>
      <w:r w:rsidRPr="00105B3E">
        <w:rPr>
          <w:rFonts w:asciiTheme="majorHAnsi" w:hAnsiTheme="majorHAnsi" w:cstheme="majorHAnsi"/>
          <w:sz w:val="22"/>
          <w:szCs w:val="22"/>
        </w:rPr>
        <w:t xml:space="preserve">The table shows the increase in non-government school funding as a proportion of government spending on similar public schools. </w:t>
      </w:r>
      <w:r w:rsidR="006F55D8" w:rsidRPr="00105B3E">
        <w:rPr>
          <w:rFonts w:asciiTheme="majorHAnsi" w:hAnsiTheme="majorHAnsi" w:cstheme="majorHAnsi"/>
          <w:sz w:val="22"/>
          <w:szCs w:val="22"/>
        </w:rPr>
        <w:t xml:space="preserve">Almost two-thirds of </w:t>
      </w:r>
      <w:r w:rsidR="0046590D" w:rsidRPr="00105B3E">
        <w:rPr>
          <w:rFonts w:asciiTheme="majorHAnsi" w:hAnsiTheme="majorHAnsi" w:cstheme="majorHAnsi"/>
          <w:sz w:val="22"/>
          <w:szCs w:val="22"/>
        </w:rPr>
        <w:t xml:space="preserve">Australian </w:t>
      </w:r>
      <w:r w:rsidR="006F55D8" w:rsidRPr="00105B3E">
        <w:rPr>
          <w:rFonts w:asciiTheme="majorHAnsi" w:hAnsiTheme="majorHAnsi" w:cstheme="majorHAnsi"/>
          <w:sz w:val="22"/>
          <w:szCs w:val="22"/>
        </w:rPr>
        <w:t>students attend schools in the ICSEA</w:t>
      </w:r>
      <w:r w:rsidRPr="00105B3E">
        <w:rPr>
          <w:rFonts w:asciiTheme="majorHAnsi" w:hAnsiTheme="majorHAnsi" w:cstheme="majorHAnsi"/>
          <w:sz w:val="22"/>
          <w:szCs w:val="22"/>
        </w:rPr>
        <w:t xml:space="preserve"> ranges shown. While the </w:t>
      </w:r>
      <w:r w:rsidR="00400D39" w:rsidRPr="00105B3E">
        <w:rPr>
          <w:rFonts w:asciiTheme="majorHAnsi" w:hAnsiTheme="majorHAnsi" w:cstheme="majorHAnsi"/>
          <w:sz w:val="22"/>
          <w:szCs w:val="22"/>
        </w:rPr>
        <w:t>public funding is similar across the sectors,</w:t>
      </w:r>
      <w:r w:rsidR="009C495D" w:rsidRPr="00105B3E">
        <w:rPr>
          <w:rFonts w:asciiTheme="majorHAnsi" w:hAnsiTheme="majorHAnsi" w:cstheme="majorHAnsi"/>
          <w:sz w:val="22"/>
          <w:szCs w:val="22"/>
        </w:rPr>
        <w:t xml:space="preserve"> the similarity does not extend to the obligations and operations of the schools. </w:t>
      </w:r>
    </w:p>
    <w:p w14:paraId="3FE0D201" w14:textId="77777777" w:rsidR="00CA15A6" w:rsidRPr="00105B3E" w:rsidRDefault="00CA15A6" w:rsidP="00C8311C">
      <w:pPr>
        <w:rPr>
          <w:rFonts w:asciiTheme="majorHAnsi" w:hAnsiTheme="majorHAnsi" w:cstheme="majorHAnsi"/>
          <w:sz w:val="22"/>
          <w:szCs w:val="22"/>
        </w:rPr>
      </w:pPr>
    </w:p>
    <w:p w14:paraId="403C25F8" w14:textId="17033C8D" w:rsidR="00C8311C" w:rsidRPr="00CA15A6" w:rsidRDefault="00400D39" w:rsidP="00C8311C">
      <w:pPr>
        <w:rPr>
          <w:rFonts w:asciiTheme="majorHAnsi" w:eastAsia="Arial Narrow" w:hAnsiTheme="majorHAnsi" w:cstheme="majorHAnsi"/>
          <w:b/>
          <w:bCs/>
          <w:sz w:val="22"/>
          <w:szCs w:val="22"/>
        </w:rPr>
      </w:pPr>
      <w:r w:rsidRPr="00CA15A6">
        <w:rPr>
          <w:rFonts w:asciiTheme="majorHAnsi" w:hAnsiTheme="majorHAnsi" w:cstheme="majorHAnsi"/>
          <w:b/>
          <w:bCs/>
          <w:sz w:val="22"/>
          <w:szCs w:val="22"/>
        </w:rPr>
        <w:t>There is now an increased</w:t>
      </w:r>
      <w:r w:rsidR="00C8311C" w:rsidRPr="00CA15A6">
        <w:rPr>
          <w:rFonts w:asciiTheme="majorHAnsi" w:hAnsiTheme="majorHAnsi" w:cstheme="majorHAnsi"/>
          <w:b/>
          <w:bCs/>
          <w:sz w:val="22"/>
          <w:szCs w:val="22"/>
        </w:rPr>
        <w:t xml:space="preserve"> </w:t>
      </w:r>
      <w:r w:rsidR="00C8311C" w:rsidRPr="00CA15A6">
        <w:rPr>
          <w:rFonts w:asciiTheme="majorHAnsi" w:hAnsiTheme="majorHAnsi" w:cstheme="majorHAnsi"/>
          <w:b/>
          <w:bCs/>
          <w:i/>
          <w:iCs/>
          <w:sz w:val="22"/>
          <w:szCs w:val="22"/>
        </w:rPr>
        <w:t>capacity</w:t>
      </w:r>
      <w:r w:rsidR="00C8311C" w:rsidRPr="00CA15A6">
        <w:rPr>
          <w:rFonts w:asciiTheme="majorHAnsi" w:hAnsiTheme="majorHAnsi" w:cstheme="majorHAnsi"/>
          <w:b/>
          <w:bCs/>
          <w:sz w:val="22"/>
          <w:szCs w:val="22"/>
        </w:rPr>
        <w:t xml:space="preserve"> of state and federal governments, acting in unison, to </w:t>
      </w:r>
      <w:r w:rsidR="00463FD1" w:rsidRPr="00CA15A6">
        <w:rPr>
          <w:rFonts w:asciiTheme="majorHAnsi" w:hAnsiTheme="majorHAnsi" w:cstheme="majorHAnsi"/>
          <w:b/>
          <w:bCs/>
          <w:sz w:val="22"/>
          <w:szCs w:val="22"/>
        </w:rPr>
        <w:t xml:space="preserve">reform the regulatory environment. It creates an opportunity </w:t>
      </w:r>
      <w:r w:rsidR="009F33B9" w:rsidRPr="00CA15A6">
        <w:rPr>
          <w:rFonts w:asciiTheme="majorHAnsi" w:hAnsiTheme="majorHAnsi" w:cstheme="majorHAnsi"/>
          <w:b/>
          <w:bCs/>
          <w:sz w:val="22"/>
          <w:szCs w:val="22"/>
        </w:rPr>
        <w:t xml:space="preserve">to </w:t>
      </w:r>
      <w:r w:rsidRPr="00CA15A6">
        <w:rPr>
          <w:rFonts w:asciiTheme="majorHAnsi" w:hAnsiTheme="majorHAnsi" w:cstheme="majorHAnsi"/>
          <w:b/>
          <w:bCs/>
          <w:sz w:val="22"/>
          <w:szCs w:val="22"/>
        </w:rPr>
        <w:t xml:space="preserve">ensure that all schools in this publicly-funded framework </w:t>
      </w:r>
      <w:r w:rsidR="00463FD1" w:rsidRPr="00CA15A6">
        <w:rPr>
          <w:rFonts w:asciiTheme="majorHAnsi" w:hAnsiTheme="majorHAnsi" w:cstheme="majorHAnsi"/>
          <w:b/>
          <w:bCs/>
          <w:sz w:val="22"/>
          <w:szCs w:val="22"/>
        </w:rPr>
        <w:t>operate in ways to</w:t>
      </w:r>
      <w:r w:rsidRPr="00CA15A6">
        <w:rPr>
          <w:rFonts w:asciiTheme="majorHAnsi" w:hAnsiTheme="majorHAnsi" w:cstheme="majorHAnsi"/>
          <w:b/>
          <w:bCs/>
          <w:sz w:val="22"/>
          <w:szCs w:val="22"/>
        </w:rPr>
        <w:t xml:space="preserve"> </w:t>
      </w:r>
      <w:r w:rsidR="00C8311C" w:rsidRPr="00CA15A6">
        <w:rPr>
          <w:rFonts w:asciiTheme="majorHAnsi" w:hAnsiTheme="majorHAnsi" w:cstheme="majorHAnsi"/>
          <w:b/>
          <w:bCs/>
          <w:sz w:val="22"/>
          <w:szCs w:val="22"/>
        </w:rPr>
        <w:t>reduce peer impacts by slowing and reversing</w:t>
      </w:r>
      <w:r w:rsidR="002A501A" w:rsidRPr="00CA15A6">
        <w:rPr>
          <w:rFonts w:asciiTheme="majorHAnsi" w:hAnsiTheme="majorHAnsi" w:cstheme="majorHAnsi"/>
          <w:b/>
          <w:bCs/>
          <w:sz w:val="22"/>
          <w:szCs w:val="22"/>
        </w:rPr>
        <w:t xml:space="preserve"> the SES gaps between schools and the disproportionate impact of peers on learning. </w:t>
      </w:r>
    </w:p>
    <w:p w14:paraId="4D86A25F" w14:textId="5AB7D7B7" w:rsidR="00F92384" w:rsidRPr="00105B3E" w:rsidRDefault="00F92384" w:rsidP="00C8311C">
      <w:pPr>
        <w:rPr>
          <w:rFonts w:asciiTheme="majorHAnsi" w:hAnsiTheme="majorHAnsi" w:cstheme="majorHAnsi"/>
          <w:sz w:val="22"/>
          <w:szCs w:val="22"/>
        </w:rPr>
      </w:pPr>
    </w:p>
    <w:p w14:paraId="5F418928" w14:textId="77777777" w:rsidR="000006CF" w:rsidRDefault="000006CF">
      <w:pPr>
        <w:spacing w:after="160" w:line="259" w:lineRule="auto"/>
        <w:rPr>
          <w:rFonts w:asciiTheme="majorHAnsi" w:hAnsiTheme="majorHAnsi" w:cstheme="majorHAnsi"/>
          <w:color w:val="0070C0"/>
          <w:sz w:val="22"/>
          <w:szCs w:val="22"/>
        </w:rPr>
      </w:pPr>
      <w:r>
        <w:rPr>
          <w:rFonts w:asciiTheme="majorHAnsi" w:hAnsiTheme="majorHAnsi" w:cstheme="majorHAnsi"/>
          <w:color w:val="0070C0"/>
          <w:sz w:val="22"/>
          <w:szCs w:val="22"/>
        </w:rPr>
        <w:br w:type="page"/>
      </w:r>
    </w:p>
    <w:p w14:paraId="59DB5E52" w14:textId="5757D2DF" w:rsidR="006207FB" w:rsidRPr="00D92CEC" w:rsidRDefault="006207FB" w:rsidP="00C8311C">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lastRenderedPageBreak/>
        <w:t>Conclusion</w:t>
      </w:r>
    </w:p>
    <w:p w14:paraId="0627AA18" w14:textId="77777777" w:rsidR="006207FB" w:rsidRPr="00105B3E" w:rsidRDefault="006207FB" w:rsidP="00C8311C">
      <w:pPr>
        <w:rPr>
          <w:rFonts w:asciiTheme="majorHAnsi" w:hAnsiTheme="majorHAnsi" w:cstheme="majorHAnsi"/>
          <w:sz w:val="22"/>
          <w:szCs w:val="22"/>
        </w:rPr>
      </w:pPr>
    </w:p>
    <w:p w14:paraId="753E39DA" w14:textId="3A18D10D" w:rsidR="00843F5B" w:rsidRDefault="002A501A" w:rsidP="00235093">
      <w:pPr>
        <w:rPr>
          <w:rFonts w:asciiTheme="majorHAnsi" w:hAnsiTheme="majorHAnsi" w:cstheme="majorHAnsi"/>
          <w:sz w:val="22"/>
          <w:szCs w:val="22"/>
        </w:rPr>
      </w:pPr>
      <w:r w:rsidRPr="00105B3E">
        <w:rPr>
          <w:rFonts w:asciiTheme="majorHAnsi" w:hAnsiTheme="majorHAnsi" w:cstheme="majorHAnsi"/>
          <w:sz w:val="22"/>
          <w:szCs w:val="22"/>
        </w:rPr>
        <w:t>The opportunity cost of not reforming the school framework will b</w:t>
      </w:r>
      <w:r w:rsidR="00105B3E">
        <w:rPr>
          <w:rFonts w:asciiTheme="majorHAnsi" w:hAnsiTheme="majorHAnsi" w:cstheme="majorHAnsi"/>
          <w:sz w:val="22"/>
          <w:szCs w:val="22"/>
        </w:rPr>
        <w:t>e</w:t>
      </w:r>
      <w:r w:rsidRPr="00105B3E">
        <w:rPr>
          <w:rFonts w:asciiTheme="majorHAnsi" w:hAnsiTheme="majorHAnsi" w:cstheme="majorHAnsi"/>
          <w:sz w:val="22"/>
          <w:szCs w:val="22"/>
        </w:rPr>
        <w:t xml:space="preserve"> substantial.</w:t>
      </w:r>
      <w:r w:rsidR="00105B3E">
        <w:rPr>
          <w:rFonts w:asciiTheme="majorHAnsi" w:hAnsiTheme="majorHAnsi" w:cstheme="majorHAnsi"/>
          <w:sz w:val="22"/>
          <w:szCs w:val="22"/>
        </w:rPr>
        <w:t xml:space="preserve"> Put another way, we contend that the cost of productivity to the nation is at stake. </w:t>
      </w:r>
      <w:r w:rsidRPr="00105B3E">
        <w:rPr>
          <w:rFonts w:asciiTheme="majorHAnsi" w:hAnsiTheme="majorHAnsi" w:cstheme="majorHAnsi"/>
          <w:sz w:val="22"/>
          <w:szCs w:val="22"/>
        </w:rPr>
        <w:t xml:space="preserve"> </w:t>
      </w:r>
      <w:r w:rsidR="00105B3E">
        <w:rPr>
          <w:rFonts w:asciiTheme="majorHAnsi" w:hAnsiTheme="majorHAnsi" w:cstheme="majorHAnsi"/>
          <w:sz w:val="22"/>
          <w:szCs w:val="22"/>
        </w:rPr>
        <w:t xml:space="preserve">This is evidenced by the </w:t>
      </w:r>
      <w:r w:rsidR="00843F5B" w:rsidRPr="00105B3E">
        <w:rPr>
          <w:rFonts w:asciiTheme="majorHAnsi" w:hAnsiTheme="majorHAnsi" w:cstheme="majorHAnsi"/>
          <w:sz w:val="22"/>
          <w:szCs w:val="22"/>
        </w:rPr>
        <w:t xml:space="preserve">data </w:t>
      </w:r>
      <w:r w:rsidR="00105B3E">
        <w:rPr>
          <w:rFonts w:asciiTheme="majorHAnsi" w:hAnsiTheme="majorHAnsi" w:cstheme="majorHAnsi"/>
          <w:sz w:val="22"/>
          <w:szCs w:val="22"/>
        </w:rPr>
        <w:t xml:space="preserve">which. </w:t>
      </w:r>
      <w:r w:rsidR="00843F5B" w:rsidRPr="00105B3E">
        <w:rPr>
          <w:rFonts w:asciiTheme="majorHAnsi" w:hAnsiTheme="majorHAnsi" w:cstheme="majorHAnsi"/>
          <w:sz w:val="22"/>
          <w:szCs w:val="22"/>
        </w:rPr>
        <w:t>suggests that almost two decades of residualizing low SES schools and their students will continue</w:t>
      </w:r>
      <w:r w:rsidR="00B534E0">
        <w:rPr>
          <w:rFonts w:asciiTheme="majorHAnsi" w:hAnsiTheme="majorHAnsi" w:cstheme="majorHAnsi"/>
          <w:sz w:val="22"/>
          <w:szCs w:val="22"/>
        </w:rPr>
        <w:t>.</w:t>
      </w:r>
    </w:p>
    <w:p w14:paraId="6518AA80" w14:textId="7E51D4FA" w:rsidR="00B534E0" w:rsidRDefault="00B534E0" w:rsidP="00235093">
      <w:pPr>
        <w:rPr>
          <w:rFonts w:asciiTheme="majorHAnsi" w:hAnsiTheme="majorHAnsi" w:cstheme="majorHAnsi"/>
          <w:sz w:val="22"/>
          <w:szCs w:val="22"/>
        </w:rPr>
      </w:pPr>
    </w:p>
    <w:p w14:paraId="24646AEA" w14:textId="1BA72F0A" w:rsidR="00B534E0" w:rsidRPr="00105B3E" w:rsidRDefault="00B534E0" w:rsidP="00235093">
      <w:pPr>
        <w:rPr>
          <w:rFonts w:asciiTheme="majorHAnsi" w:hAnsiTheme="majorHAnsi" w:cstheme="majorHAnsi"/>
          <w:sz w:val="22"/>
          <w:szCs w:val="22"/>
        </w:rPr>
      </w:pPr>
      <w:r>
        <w:rPr>
          <w:rFonts w:asciiTheme="majorHAnsi" w:hAnsiTheme="majorHAnsi" w:cstheme="majorHAnsi"/>
          <w:sz w:val="22"/>
          <w:szCs w:val="22"/>
        </w:rPr>
        <w:t>In particular:</w:t>
      </w:r>
    </w:p>
    <w:p w14:paraId="19B7232A" w14:textId="77777777" w:rsidR="00F92384" w:rsidRPr="00105B3E" w:rsidRDefault="00F92384" w:rsidP="00235093">
      <w:pPr>
        <w:rPr>
          <w:rFonts w:asciiTheme="majorHAnsi" w:hAnsiTheme="majorHAnsi" w:cstheme="majorHAnsi"/>
          <w:sz w:val="22"/>
          <w:szCs w:val="22"/>
        </w:rPr>
      </w:pPr>
    </w:p>
    <w:p w14:paraId="62DA5E4A" w14:textId="3BB49475" w:rsidR="00B534E0" w:rsidRDefault="001D78D9"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The way school choice is currently structured, especially in favouring those </w:t>
      </w:r>
      <w:r w:rsidR="00440239" w:rsidRPr="00105B3E">
        <w:rPr>
          <w:rFonts w:asciiTheme="majorHAnsi" w:hAnsiTheme="majorHAnsi" w:cstheme="majorHAnsi"/>
          <w:sz w:val="22"/>
          <w:szCs w:val="22"/>
        </w:rPr>
        <w:t xml:space="preserve">families </w:t>
      </w:r>
      <w:r w:rsidRPr="00105B3E">
        <w:rPr>
          <w:rFonts w:asciiTheme="majorHAnsi" w:hAnsiTheme="majorHAnsi" w:cstheme="majorHAnsi"/>
          <w:sz w:val="22"/>
          <w:szCs w:val="22"/>
        </w:rPr>
        <w:t xml:space="preserve">with the required resources, including social and cultural capital, will </w:t>
      </w:r>
      <w:r w:rsidR="00BE23D2" w:rsidRPr="00105B3E">
        <w:rPr>
          <w:rFonts w:asciiTheme="majorHAnsi" w:hAnsiTheme="majorHAnsi" w:cstheme="majorHAnsi"/>
          <w:sz w:val="22"/>
          <w:szCs w:val="22"/>
        </w:rPr>
        <w:t xml:space="preserve">continue to </w:t>
      </w:r>
      <w:r w:rsidRPr="00105B3E">
        <w:rPr>
          <w:rFonts w:asciiTheme="majorHAnsi" w:hAnsiTheme="majorHAnsi" w:cstheme="majorHAnsi"/>
          <w:sz w:val="22"/>
          <w:szCs w:val="22"/>
        </w:rPr>
        <w:t>advantage high SES schools at the expense of others.</w:t>
      </w:r>
      <w:r w:rsidR="00377AE9" w:rsidRPr="00105B3E">
        <w:rPr>
          <w:rFonts w:asciiTheme="majorHAnsi" w:hAnsiTheme="majorHAnsi" w:cstheme="majorHAnsi"/>
          <w:sz w:val="22"/>
          <w:szCs w:val="22"/>
        </w:rPr>
        <w:t xml:space="preserve"> Peer effects will continue to be </w:t>
      </w:r>
      <w:r w:rsidR="00440239" w:rsidRPr="00105B3E">
        <w:rPr>
          <w:rFonts w:asciiTheme="majorHAnsi" w:hAnsiTheme="majorHAnsi" w:cstheme="majorHAnsi"/>
          <w:sz w:val="22"/>
          <w:szCs w:val="22"/>
        </w:rPr>
        <w:t>a significant</w:t>
      </w:r>
      <w:r w:rsidR="00377AE9" w:rsidRPr="00105B3E">
        <w:rPr>
          <w:rFonts w:asciiTheme="majorHAnsi" w:hAnsiTheme="majorHAnsi" w:cstheme="majorHAnsi"/>
          <w:sz w:val="22"/>
          <w:szCs w:val="22"/>
        </w:rPr>
        <w:t xml:space="preserve"> driver of outcomes.</w:t>
      </w:r>
      <w:r w:rsidR="00AB62B0" w:rsidRPr="00105B3E">
        <w:rPr>
          <w:rFonts w:asciiTheme="majorHAnsi" w:hAnsiTheme="majorHAnsi" w:cstheme="majorHAnsi"/>
          <w:sz w:val="22"/>
          <w:szCs w:val="22"/>
        </w:rPr>
        <w:t xml:space="preserve"> Our equity gradient will continue to steepen.</w:t>
      </w:r>
    </w:p>
    <w:p w14:paraId="19B032A2" w14:textId="77777777" w:rsidR="00B534E0" w:rsidRDefault="00B534E0" w:rsidP="00CA15A6">
      <w:pPr>
        <w:pStyle w:val="ListParagraph"/>
        <w:ind w:left="360"/>
        <w:rPr>
          <w:rFonts w:asciiTheme="majorHAnsi" w:hAnsiTheme="majorHAnsi" w:cstheme="majorHAnsi"/>
          <w:sz w:val="22"/>
          <w:szCs w:val="22"/>
        </w:rPr>
      </w:pPr>
    </w:p>
    <w:p w14:paraId="6E602495" w14:textId="4AEAF121" w:rsidR="00B534E0" w:rsidRPr="00B534E0" w:rsidRDefault="00B534E0" w:rsidP="00CA15A6">
      <w:pPr>
        <w:pStyle w:val="ListParagraph"/>
        <w:numPr>
          <w:ilvl w:val="0"/>
          <w:numId w:val="2"/>
        </w:numPr>
        <w:ind w:left="360"/>
        <w:rPr>
          <w:rFonts w:asciiTheme="majorHAnsi" w:hAnsiTheme="majorHAnsi" w:cstheme="majorHAnsi"/>
          <w:color w:val="000000"/>
          <w:sz w:val="22"/>
          <w:szCs w:val="22"/>
        </w:rPr>
      </w:pPr>
      <w:r w:rsidRPr="00B534E0">
        <w:rPr>
          <w:rFonts w:asciiTheme="majorHAnsi" w:hAnsiTheme="majorHAnsi" w:cstheme="majorHAnsi"/>
          <w:color w:val="000000"/>
          <w:sz w:val="22"/>
          <w:szCs w:val="22"/>
        </w:rPr>
        <w:t>The present school framework also contributes to the overall underperformance of Australian students attending well-resourced schools, high SES schools. This is not in the best interests of the nation or those students. </w:t>
      </w:r>
    </w:p>
    <w:p w14:paraId="32135BDB" w14:textId="32316052" w:rsidR="001D78D9" w:rsidRPr="00105B3E" w:rsidRDefault="001D78D9" w:rsidP="00CA15A6">
      <w:pPr>
        <w:pStyle w:val="ListParagraph"/>
        <w:ind w:left="360"/>
        <w:rPr>
          <w:rFonts w:asciiTheme="majorHAnsi" w:hAnsiTheme="majorHAnsi" w:cstheme="majorHAnsi"/>
          <w:sz w:val="22"/>
          <w:szCs w:val="22"/>
        </w:rPr>
      </w:pPr>
    </w:p>
    <w:p w14:paraId="5A3DF6D2" w14:textId="1F638136" w:rsidR="00377AE9" w:rsidRPr="00105B3E" w:rsidRDefault="001F105B"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Low and high SES schools will continue to diverge in respect of their attractiveness, </w:t>
      </w:r>
      <w:r w:rsidR="001D78D9" w:rsidRPr="00105B3E">
        <w:rPr>
          <w:rFonts w:asciiTheme="majorHAnsi" w:hAnsiTheme="majorHAnsi" w:cstheme="majorHAnsi"/>
          <w:sz w:val="22"/>
          <w:szCs w:val="22"/>
        </w:rPr>
        <w:t xml:space="preserve">their size, </w:t>
      </w:r>
      <w:r w:rsidRPr="00105B3E">
        <w:rPr>
          <w:rFonts w:asciiTheme="majorHAnsi" w:hAnsiTheme="majorHAnsi" w:cstheme="majorHAnsi"/>
          <w:sz w:val="22"/>
          <w:szCs w:val="22"/>
        </w:rPr>
        <w:t xml:space="preserve">the students they enrol and </w:t>
      </w:r>
      <w:r w:rsidR="001D78D9" w:rsidRPr="00105B3E">
        <w:rPr>
          <w:rFonts w:asciiTheme="majorHAnsi" w:hAnsiTheme="majorHAnsi" w:cstheme="majorHAnsi"/>
          <w:sz w:val="22"/>
          <w:szCs w:val="22"/>
        </w:rPr>
        <w:t>in their achievement profile. The essential diversity and social and academic balance in school enrolments will continue to decline.</w:t>
      </w:r>
      <w:r w:rsidR="00B12F32" w:rsidRPr="00105B3E">
        <w:rPr>
          <w:rFonts w:asciiTheme="majorHAnsi" w:hAnsiTheme="majorHAnsi" w:cstheme="majorHAnsi"/>
          <w:sz w:val="22"/>
          <w:szCs w:val="22"/>
        </w:rPr>
        <w:br/>
      </w:r>
    </w:p>
    <w:p w14:paraId="2C478F71" w14:textId="77C446B4" w:rsidR="007070AE" w:rsidRPr="00105B3E" w:rsidRDefault="00377AE9"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Our most vulnerable students, their schools</w:t>
      </w:r>
      <w:r w:rsidR="00B534E0">
        <w:rPr>
          <w:rFonts w:asciiTheme="majorHAnsi" w:hAnsiTheme="majorHAnsi" w:cstheme="majorHAnsi"/>
          <w:sz w:val="22"/>
          <w:szCs w:val="22"/>
        </w:rPr>
        <w:t>,</w:t>
      </w:r>
      <w:r w:rsidRPr="00105B3E">
        <w:rPr>
          <w:rFonts w:asciiTheme="majorHAnsi" w:hAnsiTheme="majorHAnsi" w:cstheme="majorHAnsi"/>
          <w:sz w:val="22"/>
          <w:szCs w:val="22"/>
        </w:rPr>
        <w:t xml:space="preserve"> and their communities – already under strain because of the pandemic – will continue to struggle</w:t>
      </w:r>
      <w:r w:rsidR="007070AE" w:rsidRPr="00105B3E">
        <w:rPr>
          <w:rFonts w:asciiTheme="majorHAnsi" w:hAnsiTheme="majorHAnsi" w:cstheme="majorHAnsi"/>
          <w:sz w:val="22"/>
          <w:szCs w:val="22"/>
        </w:rPr>
        <w:t>.</w:t>
      </w:r>
      <w:r w:rsidR="008D577D" w:rsidRPr="00105B3E">
        <w:rPr>
          <w:rFonts w:asciiTheme="majorHAnsi" w:hAnsiTheme="majorHAnsi" w:cstheme="majorHAnsi"/>
          <w:sz w:val="22"/>
          <w:szCs w:val="22"/>
        </w:rPr>
        <w:t xml:space="preserve"> Current funding arrangements will continue to delay the date when public schools will reach their Schools </w:t>
      </w:r>
      <w:r w:rsidR="00BB5521" w:rsidRPr="00105B3E">
        <w:rPr>
          <w:rFonts w:asciiTheme="majorHAnsi" w:hAnsiTheme="majorHAnsi" w:cstheme="majorHAnsi"/>
          <w:sz w:val="22"/>
          <w:szCs w:val="22"/>
        </w:rPr>
        <w:t>R</w:t>
      </w:r>
      <w:r w:rsidR="008D577D" w:rsidRPr="00105B3E">
        <w:rPr>
          <w:rFonts w:asciiTheme="majorHAnsi" w:hAnsiTheme="majorHAnsi" w:cstheme="majorHAnsi"/>
          <w:sz w:val="22"/>
          <w:szCs w:val="22"/>
        </w:rPr>
        <w:t>esourcing Standard.</w:t>
      </w:r>
    </w:p>
    <w:p w14:paraId="7B1607EB" w14:textId="77777777" w:rsidR="003154FC" w:rsidRPr="00105B3E" w:rsidRDefault="003154FC" w:rsidP="00CA15A6">
      <w:pPr>
        <w:pStyle w:val="ListParagraph"/>
        <w:ind w:left="360"/>
        <w:rPr>
          <w:rFonts w:asciiTheme="majorHAnsi" w:hAnsiTheme="majorHAnsi" w:cstheme="majorHAnsi"/>
          <w:sz w:val="22"/>
          <w:szCs w:val="22"/>
        </w:rPr>
      </w:pPr>
    </w:p>
    <w:p w14:paraId="49F45C20" w14:textId="3E4E0BAE" w:rsidR="002950F0" w:rsidRPr="00105B3E" w:rsidRDefault="00235093"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Despite the best efforts of governments to improve school outcomes through school reform, there will be little change in existing patterns, and the likelihood of further decline. </w:t>
      </w:r>
    </w:p>
    <w:p w14:paraId="3E7F11C4" w14:textId="77777777" w:rsidR="002950F0" w:rsidRPr="00105B3E" w:rsidRDefault="002950F0" w:rsidP="00CA15A6">
      <w:pPr>
        <w:pStyle w:val="ListParagraph"/>
        <w:ind w:left="360"/>
        <w:rPr>
          <w:rFonts w:asciiTheme="majorHAnsi" w:hAnsiTheme="majorHAnsi" w:cstheme="majorHAnsi"/>
          <w:sz w:val="22"/>
          <w:szCs w:val="22"/>
        </w:rPr>
      </w:pPr>
    </w:p>
    <w:p w14:paraId="0FACF24C" w14:textId="6AB2C6D9" w:rsidR="002950F0" w:rsidRPr="00105B3E" w:rsidRDefault="002950F0"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While governments have tracked changes in student achievement over time, they haven’t monitored the SES underpinnings of changing school enrolments, nor have they evaluated the impact of policies on peer effects across the school system. </w:t>
      </w:r>
    </w:p>
    <w:p w14:paraId="1276ED3B" w14:textId="77777777" w:rsidR="000006CF" w:rsidRPr="000006CF" w:rsidRDefault="000006CF" w:rsidP="000006CF">
      <w:pPr>
        <w:rPr>
          <w:rFonts w:asciiTheme="minorHAnsi" w:hAnsiTheme="minorHAnsi" w:cstheme="minorHAnsi"/>
          <w:color w:val="000000" w:themeColor="text1"/>
        </w:rPr>
      </w:pPr>
    </w:p>
    <w:p w14:paraId="66943E38" w14:textId="5D349B24" w:rsidR="00BA0A75" w:rsidRPr="00087AC1" w:rsidRDefault="00F72BBC" w:rsidP="005C1776">
      <w:pPr>
        <w:rPr>
          <w:rFonts w:asciiTheme="minorHAnsi" w:hAnsiTheme="minorHAnsi" w:cstheme="minorHAnsi"/>
          <w:color w:val="000000" w:themeColor="text1"/>
          <w:sz w:val="22"/>
          <w:szCs w:val="22"/>
        </w:rPr>
      </w:pPr>
      <w:r w:rsidRPr="00087AC1">
        <w:rPr>
          <w:rFonts w:asciiTheme="majorHAnsi" w:hAnsiTheme="majorHAnsi" w:cstheme="majorHAnsi"/>
          <w:color w:val="000000"/>
          <w:sz w:val="22"/>
          <w:szCs w:val="22"/>
        </w:rPr>
        <w:t>We submit that to maximise effectiveness and productivity, we need high-level policy settings that reward, rather than punish; and schools and systems which add value rather than specialise in enrolling already high-performing students.</w:t>
      </w:r>
    </w:p>
    <w:p w14:paraId="072261AA" w14:textId="39BBBBFE" w:rsidR="00FF6C41" w:rsidRPr="00087AC1" w:rsidRDefault="00FF6C41" w:rsidP="00FF6C41">
      <w:pPr>
        <w:rPr>
          <w:rFonts w:asciiTheme="minorHAnsi" w:hAnsiTheme="minorHAnsi" w:cstheme="minorHAnsi"/>
          <w:color w:val="000000" w:themeColor="text1"/>
        </w:rPr>
      </w:pPr>
    </w:p>
    <w:p w14:paraId="0413694A" w14:textId="7A4304CA" w:rsidR="00CA15A6" w:rsidRPr="00087AC1" w:rsidRDefault="00087AC1" w:rsidP="00CA15A6">
      <w:pPr>
        <w:rPr>
          <w:rFonts w:asciiTheme="majorHAnsi" w:eastAsia="Arial Narrow" w:hAnsiTheme="majorHAnsi" w:cstheme="majorHAnsi"/>
          <w:sz w:val="22"/>
          <w:szCs w:val="22"/>
        </w:rPr>
      </w:pPr>
      <w:r w:rsidRPr="00087AC1">
        <w:rPr>
          <w:rFonts w:asciiTheme="majorHAnsi" w:hAnsiTheme="majorHAnsi" w:cstheme="majorHAnsi"/>
          <w:sz w:val="22"/>
          <w:szCs w:val="22"/>
        </w:rPr>
        <w:t>Further, we believe that t</w:t>
      </w:r>
      <w:r w:rsidR="00CA15A6" w:rsidRPr="00087AC1">
        <w:rPr>
          <w:rFonts w:asciiTheme="majorHAnsi" w:hAnsiTheme="majorHAnsi" w:cstheme="majorHAnsi"/>
          <w:sz w:val="22"/>
          <w:szCs w:val="22"/>
        </w:rPr>
        <w:t xml:space="preserve">here is now an increased </w:t>
      </w:r>
      <w:r w:rsidR="00CA15A6" w:rsidRPr="00087AC1">
        <w:rPr>
          <w:rFonts w:asciiTheme="majorHAnsi" w:hAnsiTheme="majorHAnsi" w:cstheme="majorHAnsi"/>
          <w:i/>
          <w:iCs/>
          <w:sz w:val="22"/>
          <w:szCs w:val="22"/>
        </w:rPr>
        <w:t>capacity</w:t>
      </w:r>
      <w:r w:rsidR="00CA15A6" w:rsidRPr="00087AC1">
        <w:rPr>
          <w:rFonts w:asciiTheme="majorHAnsi" w:hAnsiTheme="majorHAnsi" w:cstheme="majorHAnsi"/>
          <w:sz w:val="22"/>
          <w:szCs w:val="22"/>
        </w:rPr>
        <w:t xml:space="preserve"> of state and federal governments, acting in unison, to reform the regulatory environment. </w:t>
      </w:r>
      <w:r w:rsidRPr="00087AC1">
        <w:rPr>
          <w:rFonts w:asciiTheme="majorHAnsi" w:hAnsiTheme="majorHAnsi" w:cstheme="majorHAnsi"/>
          <w:sz w:val="22"/>
          <w:szCs w:val="22"/>
        </w:rPr>
        <w:t>This</w:t>
      </w:r>
      <w:r w:rsidR="00CA15A6" w:rsidRPr="00087AC1">
        <w:rPr>
          <w:rFonts w:asciiTheme="majorHAnsi" w:hAnsiTheme="majorHAnsi" w:cstheme="majorHAnsi"/>
          <w:sz w:val="22"/>
          <w:szCs w:val="22"/>
        </w:rPr>
        <w:t xml:space="preserve"> creates an opportunity to ensure that all schools in this publicly-funded framework operate in ways to reduce peer impacts by slowing and reversing the SES gaps between schools and the disproportionate impact of peers on learning. </w:t>
      </w:r>
    </w:p>
    <w:p w14:paraId="45C3DE58" w14:textId="173ACC9E" w:rsidR="00FF6C41" w:rsidRDefault="00FF6C41" w:rsidP="00E323F9">
      <w:pPr>
        <w:rPr>
          <w:rFonts w:asciiTheme="minorHAnsi" w:hAnsiTheme="minorHAnsi" w:cstheme="minorHAnsi"/>
          <w:color w:val="000000" w:themeColor="text1"/>
        </w:rPr>
      </w:pPr>
    </w:p>
    <w:p w14:paraId="0F1CBCE3" w14:textId="77777777" w:rsidR="000006CF" w:rsidRPr="00087AC1" w:rsidRDefault="00087AC1" w:rsidP="000006CF">
      <w:pPr>
        <w:rPr>
          <w:rFonts w:asciiTheme="minorHAnsi" w:hAnsiTheme="minorHAnsi" w:cstheme="minorHAnsi"/>
          <w:color w:val="000000" w:themeColor="text1"/>
        </w:rPr>
      </w:pPr>
      <w:r>
        <w:rPr>
          <w:rFonts w:asciiTheme="minorHAnsi" w:hAnsiTheme="minorHAnsi" w:cstheme="minorHAnsi"/>
          <w:color w:val="0070C0"/>
          <w:sz w:val="28"/>
          <w:szCs w:val="28"/>
        </w:rPr>
        <w:br w:type="page"/>
      </w:r>
    </w:p>
    <w:p w14:paraId="45C881D2" w14:textId="5C870C08" w:rsidR="003154FC" w:rsidRPr="00D92CEC" w:rsidRDefault="003154FC" w:rsidP="00D92CEC">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lastRenderedPageBreak/>
        <w:t>Notes</w:t>
      </w:r>
    </w:p>
    <w:p w14:paraId="5D71E388" w14:textId="2456278E" w:rsidR="00CF053B" w:rsidRDefault="00CF053B">
      <w:pPr>
        <w:rPr>
          <w:rFonts w:asciiTheme="minorHAnsi" w:hAnsiTheme="minorHAnsi" w:cstheme="minorHAnsi"/>
          <w:color w:val="000000" w:themeColor="text1"/>
        </w:rPr>
      </w:pPr>
    </w:p>
    <w:p w14:paraId="18384562" w14:textId="77777777" w:rsidR="00D92CEC" w:rsidRPr="00C06CC4" w:rsidRDefault="00D92CEC">
      <w:pPr>
        <w:rPr>
          <w:rFonts w:asciiTheme="minorHAnsi" w:hAnsiTheme="minorHAnsi" w:cstheme="minorHAnsi"/>
          <w:color w:val="000000" w:themeColor="text1"/>
        </w:rPr>
      </w:pPr>
    </w:p>
    <w:sectPr w:rsidR="00D92CEC" w:rsidRPr="00C06CC4">
      <w:footerReference w:type="even" r:id="rId11"/>
      <w:footerReference w:type="default" r:id="rId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8C46" w14:textId="77777777" w:rsidR="00520708" w:rsidRDefault="00520708" w:rsidP="00441AC6">
      <w:r>
        <w:separator/>
      </w:r>
    </w:p>
  </w:endnote>
  <w:endnote w:type="continuationSeparator" w:id="0">
    <w:p w14:paraId="10F3A890" w14:textId="77777777" w:rsidR="00520708" w:rsidRDefault="00520708" w:rsidP="00441AC6">
      <w:r>
        <w:continuationSeparator/>
      </w:r>
    </w:p>
  </w:endnote>
  <w:endnote w:id="1">
    <w:p w14:paraId="6B9E9237" w14:textId="47DC1E7B" w:rsidR="00301416" w:rsidRPr="00301416" w:rsidRDefault="00301416">
      <w:pPr>
        <w:pStyle w:val="EndnoteText"/>
        <w:rPr>
          <w:rFonts w:asciiTheme="minorHAnsi" w:hAnsiTheme="minorHAnsi" w:cstheme="minorHAnsi"/>
          <w:sz w:val="16"/>
          <w:szCs w:val="16"/>
        </w:rPr>
      </w:pPr>
      <w:r>
        <w:rPr>
          <w:rStyle w:val="EndnoteReference"/>
        </w:rPr>
        <w:endnoteRef/>
      </w:r>
      <w:r>
        <w:t xml:space="preserve"> </w:t>
      </w:r>
      <w:hyperlink r:id="rId1" w:history="1">
        <w:r w:rsidRPr="005432F6">
          <w:rPr>
            <w:rStyle w:val="Hyperlink"/>
            <w:rFonts w:asciiTheme="minorHAnsi" w:hAnsiTheme="minorHAnsi" w:cstheme="minorHAnsi"/>
            <w:sz w:val="16"/>
            <w:szCs w:val="16"/>
          </w:rPr>
          <w:t>https://all-learning.org.au/</w:t>
        </w:r>
      </w:hyperlink>
      <w:r>
        <w:rPr>
          <w:rFonts w:asciiTheme="minorHAnsi" w:hAnsiTheme="minorHAnsi" w:cstheme="minorHAnsi"/>
          <w:sz w:val="16"/>
          <w:szCs w:val="16"/>
        </w:rPr>
        <w:t xml:space="preserve"> </w:t>
      </w:r>
    </w:p>
  </w:endnote>
  <w:endnote w:id="2">
    <w:p w14:paraId="620ED393" w14:textId="738D0F55" w:rsidR="00746D71" w:rsidRPr="00746D71" w:rsidRDefault="00746D71">
      <w:pPr>
        <w:pStyle w:val="EndnoteText"/>
        <w:rPr>
          <w:rFonts w:asciiTheme="minorHAnsi" w:hAnsiTheme="minorHAnsi" w:cstheme="minorHAnsi"/>
          <w:sz w:val="16"/>
          <w:szCs w:val="16"/>
        </w:rPr>
      </w:pPr>
      <w:r>
        <w:rPr>
          <w:rStyle w:val="EndnoteReference"/>
        </w:rPr>
        <w:endnoteRef/>
      </w:r>
      <w:r>
        <w:t xml:space="preserve"> </w:t>
      </w:r>
      <w:hyperlink r:id="rId2" w:history="1">
        <w:r w:rsidR="00FA2BC3" w:rsidRPr="005432F6">
          <w:rPr>
            <w:rStyle w:val="Hyperlink"/>
            <w:rFonts w:asciiTheme="minorHAnsi" w:hAnsiTheme="minorHAnsi" w:cstheme="minorHAnsi"/>
            <w:sz w:val="16"/>
            <w:szCs w:val="16"/>
          </w:rPr>
          <w:t>https://www.acnc.gov.au/charity/charities/e3401b57-7c06-ea11-a811-000d3ad1fbf8/profile</w:t>
        </w:r>
      </w:hyperlink>
      <w:r w:rsidR="00FA2BC3">
        <w:rPr>
          <w:rFonts w:asciiTheme="minorHAnsi" w:hAnsiTheme="minorHAnsi" w:cstheme="minorHAnsi"/>
          <w:sz w:val="16"/>
          <w:szCs w:val="16"/>
        </w:rPr>
        <w:t xml:space="preserve"> </w:t>
      </w:r>
    </w:p>
  </w:endnote>
  <w:endnote w:id="3">
    <w:p w14:paraId="009AB81E" w14:textId="12CEC045" w:rsidR="00441AC6" w:rsidRPr="00F32023" w:rsidRDefault="00441AC6">
      <w:pPr>
        <w:pStyle w:val="EndnoteText"/>
        <w:rPr>
          <w:rFonts w:asciiTheme="minorHAnsi" w:hAnsiTheme="minorHAnsi" w:cstheme="minorHAnsi"/>
          <w:sz w:val="16"/>
          <w:szCs w:val="16"/>
        </w:rPr>
      </w:pPr>
      <w:r>
        <w:rPr>
          <w:rStyle w:val="EndnoteReference"/>
        </w:rPr>
        <w:endnoteRef/>
      </w:r>
      <w:r>
        <w:t xml:space="preserve"> </w:t>
      </w:r>
      <w:r w:rsidRPr="00F32023">
        <w:rPr>
          <w:rFonts w:asciiTheme="minorHAnsi" w:hAnsiTheme="minorHAnsi" w:cstheme="minorHAnsi"/>
          <w:sz w:val="16"/>
          <w:szCs w:val="16"/>
        </w:rPr>
        <w:t>D Gonski, K Greiner, K Boston, C Lawrence, P Tannock &amp; B Scales, Review of Funding for Schooling: Final report, Federal Department of Education, Employment and Workplace Relations, Canberra, 2011, p. 124.</w:t>
      </w:r>
    </w:p>
  </w:endnote>
  <w:endnote w:id="4">
    <w:p w14:paraId="3EAE8406" w14:textId="77777777" w:rsidR="00474C08" w:rsidRPr="00F32023" w:rsidRDefault="00474C08" w:rsidP="00474C08">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New South Wales Department of Education and Communities, Australian School Funding Arrangements Discussion paper, NSW DEC, 2011, p. 12.</w:t>
      </w:r>
    </w:p>
  </w:endnote>
  <w:endnote w:id="5">
    <w:p w14:paraId="4F67B406" w14:textId="77777777" w:rsidR="00474C08" w:rsidRPr="00F32023" w:rsidRDefault="00474C08" w:rsidP="00474C08">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R Teese, ‘From opportunity to outcomes: The changing role of public schooling in Australia and national funding arrangements’, University of Melbourne Centre for Research on Education Systems, Melbourne, 2011, p. 64</w:t>
      </w:r>
    </w:p>
  </w:endnote>
  <w:endnote w:id="6">
    <w:p w14:paraId="205E8504" w14:textId="4FCB0FD3" w:rsidR="00020198" w:rsidRPr="00F32023" w:rsidRDefault="00020198" w:rsidP="00F32023">
      <w:pPr>
        <w:rPr>
          <w:rFonts w:asciiTheme="minorHAnsi" w:hAnsiTheme="minorHAnsi" w:cstheme="minorHAnsi"/>
          <w:sz w:val="16"/>
          <w:szCs w:val="16"/>
        </w:rPr>
      </w:pPr>
      <w:r w:rsidRPr="00407139">
        <w:rPr>
          <w:rStyle w:val="EndnoteReference"/>
          <w:sz w:val="20"/>
          <w:szCs w:val="20"/>
        </w:rPr>
        <w:endnoteRef/>
      </w:r>
      <w:r w:rsidR="00F32023" w:rsidRPr="00407139">
        <w:rPr>
          <w:rStyle w:val="EndnoteReference"/>
          <w:sz w:val="20"/>
          <w:szCs w:val="20"/>
        </w:rPr>
        <w:t xml:space="preserve"> </w:t>
      </w:r>
      <w:r w:rsidR="00F32023" w:rsidRPr="00F32023">
        <w:rPr>
          <w:rFonts w:asciiTheme="minorHAnsi" w:hAnsiTheme="minorHAnsi" w:cstheme="minorHAnsi"/>
          <w:sz w:val="16"/>
          <w:szCs w:val="16"/>
        </w:rPr>
        <w:t xml:space="preserve">Nous Group, </w:t>
      </w:r>
      <w:r w:rsidR="00F32023" w:rsidRPr="00F32023">
        <w:rPr>
          <w:rFonts w:asciiTheme="minorHAnsi" w:hAnsiTheme="minorHAnsi" w:cstheme="minorHAnsi"/>
          <w:i/>
          <w:iCs/>
          <w:sz w:val="16"/>
          <w:szCs w:val="16"/>
        </w:rPr>
        <w:t>Schooling challenges and opportunities – A report for the Review of Funding for Schooling</w:t>
      </w:r>
      <w:r w:rsidR="00F32023" w:rsidRPr="00F32023">
        <w:rPr>
          <w:rFonts w:asciiTheme="minorHAnsi" w:hAnsiTheme="minorHAnsi" w:cstheme="minorHAnsi"/>
          <w:sz w:val="16"/>
          <w:szCs w:val="16"/>
        </w:rPr>
        <w:t xml:space="preserve">, with the Melbourne Graduate School of Education (MGSE) and the National Institute of Labour Studies (NILS), August 2011. </w:t>
      </w:r>
      <w:r w:rsidR="00A145BD">
        <w:rPr>
          <w:rFonts w:asciiTheme="minorHAnsi" w:hAnsiTheme="minorHAnsi" w:cstheme="minorHAnsi"/>
          <w:sz w:val="16"/>
          <w:szCs w:val="16"/>
        </w:rPr>
        <w:t>p</w:t>
      </w:r>
      <w:r w:rsidR="00F32023" w:rsidRPr="00F32023">
        <w:rPr>
          <w:rFonts w:asciiTheme="minorHAnsi" w:hAnsiTheme="minorHAnsi" w:cstheme="minorHAnsi"/>
          <w:sz w:val="16"/>
          <w:szCs w:val="16"/>
        </w:rPr>
        <w:t>.70</w:t>
      </w:r>
      <w:r w:rsidRPr="00F32023">
        <w:rPr>
          <w:rFonts w:asciiTheme="minorHAnsi" w:hAnsiTheme="minorHAnsi" w:cstheme="minorHAnsi"/>
          <w:sz w:val="16"/>
          <w:szCs w:val="16"/>
        </w:rPr>
        <w:t xml:space="preserve"> </w:t>
      </w:r>
    </w:p>
  </w:endnote>
  <w:endnote w:id="7">
    <w:p w14:paraId="73E00E66" w14:textId="08537BD9" w:rsidR="00365658" w:rsidRPr="00F32023" w:rsidRDefault="00365658" w:rsidP="00365658">
      <w:pPr>
        <w:pStyle w:val="EndnoteText"/>
        <w:rPr>
          <w:rFonts w:asciiTheme="minorHAnsi" w:hAnsiTheme="minorHAnsi" w:cstheme="minorHAnsi"/>
          <w:sz w:val="16"/>
          <w:szCs w:val="16"/>
          <w:lang w:val="en-US"/>
        </w:rPr>
      </w:pPr>
      <w:r w:rsidRPr="00407139">
        <w:rPr>
          <w:rStyle w:val="EndnoteReference"/>
        </w:rPr>
        <w:endnoteRef/>
      </w:r>
      <w:r w:rsidRPr="00407139">
        <w:rPr>
          <w:rStyle w:val="EndnoteReference"/>
        </w:rPr>
        <w:t xml:space="preserve"> </w:t>
      </w:r>
      <w:r w:rsidR="00FF6C41" w:rsidRPr="00FF6C41">
        <w:rPr>
          <w:rFonts w:asciiTheme="minorHAnsi" w:hAnsiTheme="minorHAnsi" w:cstheme="minorHAnsi"/>
          <w:sz w:val="16"/>
          <w:szCs w:val="16"/>
        </w:rPr>
        <w:t xml:space="preserve">The effect of peer socioeconomic status on student achievement: A meta-analysis, January 2010, </w:t>
      </w:r>
      <w:hyperlink r:id="rId3" w:history="1">
        <w:r w:rsidR="00FF6C41" w:rsidRPr="00FF6C41">
          <w:rPr>
            <w:rStyle w:val="Hyperlink"/>
            <w:rFonts w:asciiTheme="minorHAnsi" w:hAnsiTheme="minorHAnsi" w:cstheme="minorHAnsi"/>
            <w:sz w:val="16"/>
            <w:szCs w:val="16"/>
          </w:rPr>
          <w:t>Educational Research Review</w:t>
        </w:r>
      </w:hyperlink>
      <w:r w:rsidR="00FF6C41" w:rsidRPr="00FF6C41">
        <w:rPr>
          <w:rFonts w:asciiTheme="minorHAnsi" w:hAnsiTheme="minorHAnsi" w:cstheme="minorHAnsi"/>
          <w:sz w:val="16"/>
          <w:szCs w:val="16"/>
        </w:rPr>
        <w:t xml:space="preserve"> 5(2):134-150, DOI:</w:t>
      </w:r>
      <w:hyperlink r:id="rId4" w:tgtFrame="_blank" w:history="1">
        <w:r w:rsidR="00FF6C41" w:rsidRPr="00FF6C41">
          <w:rPr>
            <w:rStyle w:val="Hyperlink"/>
            <w:rFonts w:asciiTheme="minorHAnsi" w:hAnsiTheme="minorHAnsi" w:cstheme="minorHAnsi"/>
            <w:sz w:val="16"/>
            <w:szCs w:val="16"/>
          </w:rPr>
          <w:t>10.2139/ssrn.1402645</w:t>
        </w:r>
      </w:hyperlink>
      <w:r w:rsidR="00FF6C41">
        <w:rPr>
          <w:rFonts w:asciiTheme="minorHAnsi" w:hAnsiTheme="minorHAnsi" w:cstheme="minorHAnsi"/>
          <w:sz w:val="16"/>
          <w:szCs w:val="16"/>
        </w:rPr>
        <w:t xml:space="preserve"> </w:t>
      </w:r>
    </w:p>
  </w:endnote>
  <w:endnote w:id="8">
    <w:p w14:paraId="3E828FBD" w14:textId="070F2C54" w:rsidR="004223E7" w:rsidRPr="00F32023" w:rsidRDefault="004223E7" w:rsidP="004223E7">
      <w:pPr>
        <w:rPr>
          <w:rFonts w:asciiTheme="minorHAnsi" w:hAnsiTheme="minorHAnsi" w:cstheme="minorHAnsi"/>
          <w:sz w:val="16"/>
          <w:szCs w:val="16"/>
        </w:rPr>
      </w:pPr>
      <w:r w:rsidRPr="00407139">
        <w:rPr>
          <w:rStyle w:val="EndnoteReference"/>
          <w:sz w:val="20"/>
          <w:szCs w:val="20"/>
        </w:rPr>
        <w:endnoteRef/>
      </w:r>
      <w:r w:rsidRPr="00407139">
        <w:rPr>
          <w:rStyle w:val="EndnoteReference"/>
          <w:sz w:val="20"/>
          <w:szCs w:val="20"/>
        </w:rPr>
        <w:t xml:space="preserve"> </w:t>
      </w:r>
      <w:r w:rsidR="000A1402" w:rsidRPr="00F32023">
        <w:rPr>
          <w:rFonts w:asciiTheme="minorHAnsi" w:hAnsiTheme="minorHAnsi" w:cstheme="minorHAnsi"/>
          <w:sz w:val="16"/>
          <w:szCs w:val="16"/>
        </w:rPr>
        <w:t xml:space="preserve">S Thomson et al (2017), </w:t>
      </w:r>
      <w:r w:rsidR="000A1402" w:rsidRPr="00F32023">
        <w:rPr>
          <w:rFonts w:asciiTheme="minorHAnsi" w:hAnsiTheme="minorHAnsi" w:cstheme="minorHAnsi"/>
          <w:i/>
          <w:iCs/>
          <w:sz w:val="16"/>
          <w:szCs w:val="16"/>
        </w:rPr>
        <w:t>PISA 2015: Reporting Australia's results</w:t>
      </w:r>
      <w:r w:rsidR="000A1402" w:rsidRPr="00F32023">
        <w:rPr>
          <w:rFonts w:asciiTheme="minorHAnsi" w:hAnsiTheme="minorHAnsi" w:cstheme="minorHAnsi"/>
          <w:sz w:val="16"/>
          <w:szCs w:val="16"/>
        </w:rPr>
        <w:t>, Australian Council for Educational Research, p. xxx</w:t>
      </w:r>
      <w:r w:rsidR="007D3908" w:rsidRPr="00F32023">
        <w:rPr>
          <w:rFonts w:asciiTheme="minorHAnsi" w:hAnsiTheme="minorHAnsi" w:cstheme="minorHAnsi"/>
          <w:sz w:val="16"/>
          <w:szCs w:val="16"/>
        </w:rPr>
        <w:br/>
      </w:r>
      <w:hyperlink r:id="rId5" w:history="1">
        <w:r w:rsidR="007D3908" w:rsidRPr="00F32023">
          <w:rPr>
            <w:rStyle w:val="Hyperlink"/>
            <w:rFonts w:asciiTheme="minorHAnsi" w:hAnsiTheme="minorHAnsi" w:cstheme="minorHAnsi"/>
            <w:sz w:val="16"/>
            <w:szCs w:val="16"/>
          </w:rPr>
          <w:t>https://research.acer.edu.au/cgi/viewcontent.cgi?article=1023&amp;context=ozpisa</w:t>
        </w:r>
      </w:hyperlink>
      <w:r w:rsidR="007D3908" w:rsidRPr="00F32023">
        <w:rPr>
          <w:rFonts w:asciiTheme="minorHAnsi" w:hAnsiTheme="minorHAnsi" w:cstheme="minorHAnsi"/>
          <w:sz w:val="16"/>
          <w:szCs w:val="16"/>
        </w:rPr>
        <w:t xml:space="preserve"> </w:t>
      </w:r>
    </w:p>
  </w:endnote>
  <w:endnote w:id="9">
    <w:p w14:paraId="5A6838AE" w14:textId="77777777" w:rsidR="007619BB" w:rsidRPr="00F32023" w:rsidRDefault="007619BB" w:rsidP="007619BB">
      <w:pPr>
        <w:pStyle w:val="EndnoteText"/>
        <w:rPr>
          <w:rFonts w:asciiTheme="minorHAnsi" w:hAnsiTheme="minorHAnsi" w:cstheme="minorHAnsi"/>
          <w:sz w:val="16"/>
          <w:szCs w:val="16"/>
        </w:rPr>
      </w:pPr>
      <w:r w:rsidRPr="00407139">
        <w:rPr>
          <w:rStyle w:val="EndnoteReference"/>
        </w:rPr>
        <w:endnoteRef/>
      </w:r>
      <w:r w:rsidRPr="00F32023">
        <w:rPr>
          <w:rFonts w:asciiTheme="minorHAnsi" w:hAnsiTheme="minorHAnsi" w:cstheme="minorHAnsi"/>
          <w:sz w:val="16"/>
          <w:szCs w:val="16"/>
        </w:rPr>
        <w:t xml:space="preserve"> S Thomson et al (2017), </w:t>
      </w:r>
      <w:r w:rsidRPr="00F32023">
        <w:rPr>
          <w:rFonts w:asciiTheme="minorHAnsi" w:hAnsiTheme="minorHAnsi" w:cstheme="minorHAnsi"/>
          <w:i/>
          <w:iCs/>
          <w:sz w:val="16"/>
          <w:szCs w:val="16"/>
        </w:rPr>
        <w:t>PISA 2015: Reporting Australia's results</w:t>
      </w:r>
      <w:r w:rsidRPr="00F32023">
        <w:rPr>
          <w:rFonts w:asciiTheme="minorHAnsi" w:hAnsiTheme="minorHAnsi" w:cstheme="minorHAnsi"/>
          <w:sz w:val="16"/>
          <w:szCs w:val="16"/>
        </w:rPr>
        <w:t>, Australian Council for Educational Research, p. 218</w:t>
      </w:r>
    </w:p>
    <w:p w14:paraId="6B534B7E" w14:textId="77777777" w:rsidR="007619BB" w:rsidRPr="00F32023" w:rsidRDefault="00520708" w:rsidP="007619BB">
      <w:pPr>
        <w:pStyle w:val="EndnoteText"/>
        <w:rPr>
          <w:rFonts w:asciiTheme="minorHAnsi" w:hAnsiTheme="minorHAnsi" w:cstheme="minorHAnsi"/>
          <w:sz w:val="16"/>
          <w:szCs w:val="16"/>
        </w:rPr>
      </w:pPr>
      <w:hyperlink r:id="rId6" w:history="1">
        <w:r w:rsidR="007619BB" w:rsidRPr="00F32023">
          <w:rPr>
            <w:rStyle w:val="Hyperlink"/>
            <w:rFonts w:asciiTheme="minorHAnsi" w:hAnsiTheme="minorHAnsi" w:cstheme="minorHAnsi"/>
            <w:sz w:val="16"/>
            <w:szCs w:val="16"/>
          </w:rPr>
          <w:t>https://research.acer.edu.au/cgi/viewcontent.cgi?article=1023&amp;context=ozpisa</w:t>
        </w:r>
      </w:hyperlink>
      <w:r w:rsidR="007619BB" w:rsidRPr="00F32023">
        <w:rPr>
          <w:rFonts w:asciiTheme="minorHAnsi" w:hAnsiTheme="minorHAnsi" w:cstheme="minorHAnsi"/>
          <w:sz w:val="16"/>
          <w:szCs w:val="16"/>
        </w:rPr>
        <w:t xml:space="preserve"> </w:t>
      </w:r>
    </w:p>
  </w:endnote>
  <w:endnote w:id="10">
    <w:p w14:paraId="31742B9C" w14:textId="77777777" w:rsidR="009A2AF0" w:rsidRPr="00F32023" w:rsidRDefault="009A2AF0" w:rsidP="009A2AF0">
      <w:pPr>
        <w:pStyle w:val="EndnoteText"/>
        <w:rPr>
          <w:rFonts w:asciiTheme="minorHAnsi" w:hAnsiTheme="minorHAnsi" w:cstheme="minorHAnsi"/>
          <w:sz w:val="16"/>
          <w:szCs w:val="16"/>
        </w:rPr>
      </w:pPr>
      <w:r w:rsidRPr="00407139">
        <w:rPr>
          <w:rStyle w:val="EndnoteReference"/>
        </w:rPr>
        <w:endnoteRef/>
      </w:r>
      <w:r w:rsidRPr="00407139">
        <w:t xml:space="preserve"> </w:t>
      </w:r>
      <w:r w:rsidRPr="00F32023">
        <w:rPr>
          <w:rFonts w:asciiTheme="minorHAnsi" w:hAnsiTheme="minorHAnsi" w:cstheme="minorHAnsi"/>
          <w:sz w:val="16"/>
          <w:szCs w:val="16"/>
        </w:rPr>
        <w:t xml:space="preserve">S Thomson et al (2017), </w:t>
      </w:r>
      <w:r w:rsidRPr="00F32023">
        <w:rPr>
          <w:rFonts w:asciiTheme="minorHAnsi" w:hAnsiTheme="minorHAnsi" w:cstheme="minorHAnsi"/>
          <w:i/>
          <w:iCs/>
          <w:sz w:val="16"/>
          <w:szCs w:val="16"/>
        </w:rPr>
        <w:t>PISA 2015: Reporting Australia's results</w:t>
      </w:r>
      <w:r w:rsidRPr="00F32023">
        <w:rPr>
          <w:rFonts w:asciiTheme="minorHAnsi" w:hAnsiTheme="minorHAnsi" w:cstheme="minorHAnsi"/>
          <w:sz w:val="16"/>
          <w:szCs w:val="16"/>
        </w:rPr>
        <w:t>, Australian Council for Educational Research, p. 207</w:t>
      </w:r>
      <w:r w:rsidRPr="00F32023">
        <w:rPr>
          <w:rFonts w:asciiTheme="minorHAnsi" w:hAnsiTheme="minorHAnsi" w:cstheme="minorHAnsi"/>
          <w:sz w:val="16"/>
          <w:szCs w:val="16"/>
        </w:rPr>
        <w:br/>
      </w:r>
      <w:hyperlink r:id="rId7" w:history="1">
        <w:r w:rsidRPr="00F32023">
          <w:rPr>
            <w:rStyle w:val="Hyperlink"/>
            <w:rFonts w:asciiTheme="minorHAnsi" w:hAnsiTheme="minorHAnsi" w:cstheme="minorHAnsi"/>
            <w:sz w:val="16"/>
            <w:szCs w:val="16"/>
          </w:rPr>
          <w:t>https://research.acer.edu.au/cgi/viewcontent.cgi?article=1023&amp;context=ozpisa</w:t>
        </w:r>
      </w:hyperlink>
      <w:r w:rsidRPr="00F32023">
        <w:rPr>
          <w:rFonts w:asciiTheme="minorHAnsi" w:hAnsiTheme="minorHAnsi" w:cstheme="minorHAnsi"/>
          <w:sz w:val="16"/>
          <w:szCs w:val="16"/>
        </w:rPr>
        <w:t xml:space="preserve"> </w:t>
      </w:r>
    </w:p>
  </w:endnote>
  <w:endnote w:id="11">
    <w:p w14:paraId="075E60D1" w14:textId="77777777" w:rsidR="00580134" w:rsidRPr="00F32023" w:rsidRDefault="00580134" w:rsidP="00580134">
      <w:pPr>
        <w:rPr>
          <w:rFonts w:asciiTheme="minorHAnsi" w:hAnsiTheme="minorHAnsi" w:cstheme="minorHAnsi"/>
          <w:sz w:val="16"/>
          <w:szCs w:val="16"/>
        </w:rPr>
      </w:pPr>
      <w:r w:rsidRPr="00407139">
        <w:rPr>
          <w:rStyle w:val="EndnoteReference"/>
          <w:sz w:val="20"/>
          <w:szCs w:val="20"/>
        </w:rPr>
        <w:endnoteRef/>
      </w:r>
      <w:r w:rsidRPr="00F32023">
        <w:rPr>
          <w:rFonts w:asciiTheme="minorHAnsi" w:hAnsiTheme="minorHAnsi" w:cstheme="minorHAnsi"/>
          <w:sz w:val="16"/>
          <w:szCs w:val="16"/>
        </w:rPr>
        <w:t xml:space="preserve"> </w:t>
      </w:r>
      <w:r w:rsidRPr="00F32023">
        <w:rPr>
          <w:rFonts w:asciiTheme="minorHAnsi" w:eastAsiaTheme="minorHAnsi" w:hAnsiTheme="minorHAnsi" w:cstheme="minorHAnsi"/>
          <w:sz w:val="16"/>
          <w:szCs w:val="16"/>
          <w:lang w:eastAsia="en-US"/>
        </w:rPr>
        <w:t xml:space="preserve">Chesters J. ‘The marketisation of education in Australia: Does investment in private schooling improve post-school outcomes?’. </w:t>
      </w:r>
      <w:r w:rsidRPr="00F32023">
        <w:rPr>
          <w:rFonts w:asciiTheme="minorHAnsi" w:eastAsiaTheme="minorHAnsi" w:hAnsiTheme="minorHAnsi" w:cstheme="minorHAnsi"/>
          <w:i/>
          <w:iCs/>
          <w:sz w:val="16"/>
          <w:szCs w:val="16"/>
          <w:lang w:eastAsia="en-US"/>
        </w:rPr>
        <w:t>Aust J Soc Issues</w:t>
      </w:r>
      <w:r w:rsidRPr="00F32023">
        <w:rPr>
          <w:rFonts w:asciiTheme="minorHAnsi" w:eastAsiaTheme="minorHAnsi" w:hAnsiTheme="minorHAnsi" w:cstheme="minorHAnsi"/>
          <w:sz w:val="16"/>
          <w:szCs w:val="16"/>
          <w:lang w:eastAsia="en-US"/>
        </w:rPr>
        <w:t xml:space="preserve">. 2018; 53: 147. </w:t>
      </w:r>
    </w:p>
    <w:p w14:paraId="4AB4E0FB" w14:textId="77777777" w:rsidR="00580134" w:rsidRPr="00F32023" w:rsidRDefault="00580134" w:rsidP="00580134">
      <w:pPr>
        <w:pStyle w:val="EndnoteText"/>
        <w:rPr>
          <w:rFonts w:asciiTheme="minorHAnsi" w:hAnsiTheme="minorHAnsi" w:cstheme="minorHAnsi"/>
          <w:sz w:val="16"/>
          <w:szCs w:val="16"/>
        </w:rPr>
      </w:pPr>
      <w:r w:rsidRPr="00F32023">
        <w:rPr>
          <w:rFonts w:asciiTheme="minorHAnsi" w:hAnsiTheme="minorHAnsi" w:cstheme="minorHAnsi"/>
          <w:sz w:val="16"/>
          <w:szCs w:val="16"/>
        </w:rPr>
        <w:t xml:space="preserve"> </w:t>
      </w:r>
      <w:hyperlink r:id="rId8" w:history="1">
        <w:r w:rsidRPr="00F32023">
          <w:rPr>
            <w:rStyle w:val="Hyperlink"/>
            <w:rFonts w:asciiTheme="minorHAnsi" w:eastAsiaTheme="minorHAnsi" w:hAnsiTheme="minorHAnsi" w:cstheme="minorHAnsi"/>
            <w:sz w:val="16"/>
            <w:szCs w:val="16"/>
          </w:rPr>
          <w:t>https://search.informit.org/doi/epdf/10.3316/ielapa.643296090724817</w:t>
        </w:r>
      </w:hyperlink>
      <w:r w:rsidRPr="00F32023">
        <w:rPr>
          <w:rStyle w:val="Hyperlink"/>
          <w:rFonts w:asciiTheme="minorHAnsi" w:eastAsiaTheme="minorHAnsi" w:hAnsiTheme="minorHAnsi" w:cstheme="minorHAnsi"/>
          <w:sz w:val="16"/>
          <w:szCs w:val="16"/>
        </w:rPr>
        <w:t xml:space="preserve"> </w:t>
      </w:r>
      <w:r w:rsidRPr="00F32023">
        <w:rPr>
          <w:rStyle w:val="Hyperlink"/>
          <w:rFonts w:asciiTheme="minorHAnsi" w:eastAsiaTheme="minorHAnsi" w:hAnsiTheme="minorHAnsi" w:cstheme="minorHAnsi"/>
          <w:sz w:val="16"/>
          <w:szCs w:val="16"/>
        </w:rPr>
        <w:t>‬</w:t>
      </w:r>
      <w:r w:rsidRPr="00F32023">
        <w:rPr>
          <w:rFonts w:asciiTheme="minorHAnsi" w:hAnsiTheme="minorHAnsi" w:cstheme="minorHAnsi"/>
          <w:sz w:val="16"/>
          <w:szCs w:val="16"/>
          <w:lang w:val="en-GB"/>
        </w:rPr>
        <w:t xml:space="preserve"> </w:t>
      </w:r>
    </w:p>
  </w:endnote>
  <w:endnote w:id="12">
    <w:p w14:paraId="2C0A9824" w14:textId="77777777" w:rsidR="00E2692B" w:rsidRPr="00F32023" w:rsidRDefault="00E2692B" w:rsidP="00E2692B">
      <w:pPr>
        <w:pStyle w:val="NormalWeb"/>
        <w:shd w:val="clear" w:color="auto" w:fill="FFFFFF"/>
        <w:spacing w:before="0" w:beforeAutospacing="0" w:after="0" w:afterAutospacing="0"/>
        <w:rPr>
          <w:rFonts w:asciiTheme="minorHAnsi" w:eastAsiaTheme="minorHAnsi" w:hAnsiTheme="minorHAnsi" w:cstheme="minorHAnsi"/>
          <w:sz w:val="16"/>
          <w:szCs w:val="16"/>
          <w:lang w:eastAsia="en-US"/>
        </w:rPr>
      </w:pPr>
      <w:r w:rsidRPr="00407139">
        <w:rPr>
          <w:rStyle w:val="EndnoteReference"/>
          <w:sz w:val="20"/>
          <w:szCs w:val="20"/>
          <w:lang w:eastAsia="en-GB"/>
        </w:rPr>
        <w:endnoteRef/>
      </w:r>
      <w:r w:rsidRPr="00407139">
        <w:rPr>
          <w:rStyle w:val="EndnoteReference"/>
          <w:sz w:val="20"/>
          <w:szCs w:val="20"/>
          <w:lang w:eastAsia="en-GB"/>
        </w:rPr>
        <w:t xml:space="preserve"> </w:t>
      </w:r>
      <w:r w:rsidRPr="00F32023">
        <w:rPr>
          <w:rFonts w:asciiTheme="minorHAnsi" w:eastAsiaTheme="minorHAnsi" w:hAnsiTheme="minorHAnsi" w:cstheme="minorHAnsi"/>
          <w:sz w:val="16"/>
          <w:szCs w:val="16"/>
          <w:lang w:eastAsia="en-US"/>
        </w:rPr>
        <w:t xml:space="preserve">OECD (2019) </w:t>
      </w:r>
      <w:r w:rsidRPr="00F32023">
        <w:rPr>
          <w:rFonts w:asciiTheme="minorHAnsi" w:eastAsiaTheme="minorHAnsi" w:hAnsiTheme="minorHAnsi" w:cstheme="minorHAnsi"/>
          <w:i/>
          <w:iCs/>
          <w:sz w:val="16"/>
          <w:szCs w:val="16"/>
          <w:lang w:eastAsia="en-US"/>
        </w:rPr>
        <w:t>Balancing School Choice and Equity: An International Perspective Based on PISA</w:t>
      </w:r>
      <w:r w:rsidRPr="00F32023">
        <w:rPr>
          <w:rFonts w:asciiTheme="minorHAnsi" w:eastAsiaTheme="minorHAnsi" w:hAnsiTheme="minorHAnsi" w:cstheme="minorHAnsi"/>
          <w:sz w:val="16"/>
          <w:szCs w:val="16"/>
          <w:lang w:eastAsia="en-US"/>
        </w:rPr>
        <w:t>, PISA, OECD Publishing, Paris. P.46</w:t>
      </w:r>
    </w:p>
    <w:p w14:paraId="2D7B5EDE" w14:textId="77777777" w:rsidR="00E2692B" w:rsidRPr="00F32023" w:rsidRDefault="00520708" w:rsidP="00E2692B">
      <w:pPr>
        <w:pStyle w:val="NormalWeb"/>
        <w:spacing w:before="0" w:beforeAutospacing="0" w:after="0" w:afterAutospacing="0"/>
        <w:rPr>
          <w:rFonts w:asciiTheme="minorHAnsi" w:eastAsiaTheme="minorHAnsi" w:hAnsiTheme="minorHAnsi" w:cstheme="minorHAnsi"/>
          <w:sz w:val="16"/>
          <w:szCs w:val="16"/>
          <w:lang w:eastAsia="en-US"/>
        </w:rPr>
      </w:pPr>
      <w:hyperlink r:id="rId9" w:history="1">
        <w:r w:rsidR="00E2692B" w:rsidRPr="00F32023">
          <w:rPr>
            <w:rFonts w:asciiTheme="minorHAnsi" w:eastAsiaTheme="minorHAnsi" w:hAnsiTheme="minorHAnsi" w:cstheme="minorHAnsi"/>
            <w:sz w:val="16"/>
            <w:szCs w:val="16"/>
            <w:lang w:eastAsia="en-US"/>
          </w:rPr>
          <w:t>https://doi.org/10.1787/2592c974-en</w:t>
        </w:r>
      </w:hyperlink>
      <w:r w:rsidR="00E2692B" w:rsidRPr="00F32023">
        <w:rPr>
          <w:rFonts w:asciiTheme="minorHAnsi" w:eastAsiaTheme="minorHAnsi" w:hAnsiTheme="minorHAnsi" w:cstheme="minorHAnsi"/>
          <w:sz w:val="16"/>
          <w:szCs w:val="16"/>
          <w:lang w:eastAsia="en-US"/>
        </w:rPr>
        <w:t xml:space="preserve">  </w:t>
      </w:r>
    </w:p>
  </w:endnote>
  <w:endnote w:id="13">
    <w:p w14:paraId="4E7BDF18" w14:textId="69A7542B" w:rsidR="007D3908" w:rsidRPr="00F32023" w:rsidRDefault="007D3908" w:rsidP="007D3908">
      <w:pPr>
        <w:rPr>
          <w:rFonts w:asciiTheme="minorHAnsi" w:hAnsiTheme="minorHAnsi" w:cstheme="minorHAnsi"/>
          <w:sz w:val="16"/>
          <w:szCs w:val="16"/>
        </w:rPr>
      </w:pPr>
      <w:r w:rsidRPr="00407139">
        <w:rPr>
          <w:rStyle w:val="EndnoteReference"/>
          <w:sz w:val="20"/>
          <w:szCs w:val="20"/>
        </w:rPr>
        <w:endnoteRef/>
      </w:r>
      <w:r w:rsidRPr="00407139">
        <w:rPr>
          <w:rStyle w:val="EndnoteReference"/>
          <w:sz w:val="20"/>
          <w:szCs w:val="20"/>
        </w:rPr>
        <w:t xml:space="preserve"> </w:t>
      </w:r>
      <w:r w:rsidRPr="00F32023">
        <w:rPr>
          <w:rFonts w:asciiTheme="minorHAnsi" w:eastAsiaTheme="minorHAnsi" w:hAnsiTheme="minorHAnsi" w:cstheme="minorHAnsi"/>
          <w:sz w:val="16"/>
          <w:szCs w:val="16"/>
          <w:lang w:eastAsia="en-US"/>
        </w:rPr>
        <w:t xml:space="preserve">de Gendre &amp; Salamanca (2020), ‘On the Mechanisms of Ability Peer Effects’ ZA DP No. 13938, p.1 </w:t>
      </w:r>
      <w:r w:rsidRPr="00F32023">
        <w:rPr>
          <w:rFonts w:asciiTheme="minorHAnsi" w:eastAsiaTheme="minorHAnsi" w:hAnsiTheme="minorHAnsi" w:cstheme="minorHAnsi"/>
          <w:sz w:val="16"/>
          <w:szCs w:val="16"/>
          <w:lang w:eastAsia="en-US"/>
        </w:rPr>
        <w:br/>
      </w:r>
      <w:hyperlink r:id="rId10" w:history="1">
        <w:r w:rsidRPr="00F32023">
          <w:rPr>
            <w:rStyle w:val="Hyperlink"/>
            <w:rFonts w:asciiTheme="minorHAnsi" w:eastAsiaTheme="minorHAnsi" w:hAnsiTheme="minorHAnsi" w:cstheme="minorHAnsi"/>
            <w:sz w:val="16"/>
            <w:szCs w:val="16"/>
            <w:lang w:eastAsia="en-US"/>
          </w:rPr>
          <w:t>https://docs.iza.org/dp13938.pdf</w:t>
        </w:r>
      </w:hyperlink>
      <w:r w:rsidRPr="00F32023">
        <w:rPr>
          <w:rFonts w:asciiTheme="minorHAnsi" w:eastAsiaTheme="minorHAnsi" w:hAnsiTheme="minorHAnsi" w:cstheme="minorHAnsi"/>
          <w:sz w:val="16"/>
          <w:szCs w:val="16"/>
          <w:lang w:eastAsia="en-US"/>
        </w:rPr>
        <w:t xml:space="preserve"> </w:t>
      </w:r>
    </w:p>
  </w:endnote>
  <w:endnote w:id="14">
    <w:p w14:paraId="176B0EC3" w14:textId="29B7AF20" w:rsidR="00E2692B" w:rsidRPr="00F32023" w:rsidRDefault="00E2692B" w:rsidP="00E2692B">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C Bonnor, ‘Separating scholars: How Australia abandons its struggling schools’, Centre for Policy Development, 2019.</w:t>
      </w:r>
    </w:p>
  </w:endnote>
  <w:endnote w:id="15">
    <w:p w14:paraId="66DFB1B5" w14:textId="6D21B032" w:rsidR="007734AC" w:rsidRPr="007734AC" w:rsidRDefault="007734AC" w:rsidP="007734AC">
      <w:pPr>
        <w:pStyle w:val="NormalWeb"/>
        <w:shd w:val="clear" w:color="auto" w:fill="FFFFFF"/>
        <w:spacing w:before="0" w:beforeAutospacing="0" w:after="0" w:afterAutospacing="0"/>
        <w:rPr>
          <w:rFonts w:asciiTheme="minorHAnsi" w:hAnsiTheme="minorHAnsi" w:cstheme="minorHAnsi"/>
          <w:sz w:val="16"/>
          <w:szCs w:val="16"/>
          <w:lang w:eastAsia="en-GB"/>
        </w:rPr>
      </w:pPr>
      <w:r w:rsidRPr="00407139">
        <w:rPr>
          <w:rStyle w:val="EndnoteReference"/>
          <w:sz w:val="20"/>
          <w:szCs w:val="20"/>
          <w:lang w:eastAsia="en-GB"/>
        </w:rPr>
        <w:endnoteRef/>
      </w:r>
      <w:r w:rsidRPr="00407139">
        <w:rPr>
          <w:rStyle w:val="EndnoteReference"/>
          <w:sz w:val="20"/>
          <w:szCs w:val="20"/>
          <w:lang w:eastAsia="en-GB"/>
        </w:rPr>
        <w:t xml:space="preserve"> </w:t>
      </w:r>
      <w:r w:rsidRPr="007734AC">
        <w:rPr>
          <w:rFonts w:asciiTheme="minorHAnsi" w:hAnsiTheme="minorHAnsi" w:cstheme="minorHAnsi"/>
          <w:sz w:val="16"/>
          <w:szCs w:val="16"/>
          <w:lang w:eastAsia="en-GB"/>
        </w:rPr>
        <w:t>OECD (2019)</w:t>
      </w:r>
      <w:r>
        <w:rPr>
          <w:rFonts w:asciiTheme="minorHAnsi" w:hAnsiTheme="minorHAnsi" w:cstheme="minorHAnsi"/>
          <w:sz w:val="16"/>
          <w:szCs w:val="16"/>
          <w:lang w:eastAsia="en-GB"/>
        </w:rPr>
        <w:t>,</w:t>
      </w:r>
      <w:r w:rsidRPr="007734AC">
        <w:rPr>
          <w:rFonts w:asciiTheme="minorHAnsi" w:hAnsiTheme="minorHAnsi" w:cstheme="minorHAnsi"/>
          <w:sz w:val="16"/>
          <w:szCs w:val="16"/>
          <w:lang w:eastAsia="en-GB"/>
        </w:rPr>
        <w:t xml:space="preserve"> </w:t>
      </w:r>
      <w:r w:rsidRPr="007734AC">
        <w:rPr>
          <w:rFonts w:asciiTheme="minorHAnsi" w:hAnsiTheme="minorHAnsi" w:cstheme="minorHAnsi"/>
          <w:i/>
          <w:iCs/>
          <w:sz w:val="16"/>
          <w:szCs w:val="16"/>
          <w:lang w:eastAsia="en-GB"/>
        </w:rPr>
        <w:t>Balancing School Choice and Equity: An International Perspective Based on PISA</w:t>
      </w:r>
      <w:r w:rsidRPr="007734AC">
        <w:rPr>
          <w:rFonts w:asciiTheme="minorHAnsi" w:hAnsiTheme="minorHAnsi" w:cstheme="minorHAnsi"/>
          <w:sz w:val="16"/>
          <w:szCs w:val="16"/>
          <w:lang w:eastAsia="en-GB"/>
        </w:rPr>
        <w:t>, OECD Publishing, Paris</w:t>
      </w:r>
      <w:r>
        <w:rPr>
          <w:rFonts w:asciiTheme="minorHAnsi" w:hAnsiTheme="minorHAnsi" w:cstheme="minorHAnsi"/>
          <w:sz w:val="16"/>
          <w:szCs w:val="16"/>
          <w:lang w:eastAsia="en-GB"/>
        </w:rPr>
        <w:t>, p. 32</w:t>
      </w:r>
    </w:p>
    <w:p w14:paraId="046D11A3" w14:textId="39B0B92E" w:rsidR="007734AC" w:rsidRPr="007734AC" w:rsidRDefault="00520708" w:rsidP="007734AC">
      <w:pPr>
        <w:rPr>
          <w:rFonts w:asciiTheme="minorHAnsi" w:hAnsiTheme="minorHAnsi" w:cstheme="minorHAnsi"/>
          <w:sz w:val="16"/>
          <w:szCs w:val="16"/>
        </w:rPr>
      </w:pPr>
      <w:hyperlink r:id="rId11" w:history="1">
        <w:r w:rsidR="007734AC" w:rsidRPr="007734AC">
          <w:rPr>
            <w:rFonts w:asciiTheme="minorHAnsi" w:hAnsiTheme="minorHAnsi" w:cstheme="minorHAnsi"/>
            <w:sz w:val="16"/>
            <w:szCs w:val="16"/>
          </w:rPr>
          <w:t>https://doi.org/10.1787/2592c974-en</w:t>
        </w:r>
      </w:hyperlink>
      <w:r w:rsidR="007734AC">
        <w:rPr>
          <w:rFonts w:asciiTheme="minorHAnsi" w:hAnsiTheme="minorHAnsi" w:cstheme="minorHAnsi"/>
          <w:sz w:val="16"/>
          <w:szCs w:val="16"/>
        </w:rPr>
        <w:t xml:space="preserve"> </w:t>
      </w:r>
      <w:r w:rsidR="007734AC" w:rsidRPr="007734AC">
        <w:rPr>
          <w:rFonts w:asciiTheme="minorHAnsi" w:hAnsiTheme="minorHAnsi" w:cstheme="minorHAnsi"/>
          <w:sz w:val="16"/>
          <w:szCs w:val="16"/>
        </w:rPr>
        <w:t xml:space="preserve"> </w:t>
      </w:r>
    </w:p>
  </w:endnote>
  <w:endnote w:id="16">
    <w:p w14:paraId="680ACDD9" w14:textId="20E0E7C0" w:rsidR="009D3BE5" w:rsidRDefault="009D3BE5">
      <w:pPr>
        <w:pStyle w:val="EndnoteText"/>
      </w:pPr>
      <w:r>
        <w:rPr>
          <w:rStyle w:val="EndnoteReference"/>
        </w:rPr>
        <w:endnoteRef/>
      </w:r>
      <w:r w:rsidRPr="00407139">
        <w:rPr>
          <w:rStyle w:val="EndnoteReference"/>
        </w:rPr>
        <w:t xml:space="preserve"> </w:t>
      </w:r>
      <w:r w:rsidR="00654B96" w:rsidRPr="00654B96">
        <w:rPr>
          <w:rFonts w:asciiTheme="minorHAnsi" w:hAnsiTheme="minorHAnsi" w:cstheme="minorHAnsi"/>
          <w:sz w:val="16"/>
          <w:szCs w:val="16"/>
        </w:rPr>
        <w:t>OECD (2018),</w:t>
      </w:r>
      <w:r w:rsidR="00654B96">
        <w:rPr>
          <w:rFonts w:asciiTheme="minorHAnsi" w:hAnsiTheme="minorHAnsi" w:cstheme="minorHAnsi"/>
          <w:sz w:val="16"/>
          <w:szCs w:val="16"/>
        </w:rPr>
        <w:t xml:space="preserve"> </w:t>
      </w:r>
      <w:r w:rsidR="00654B96">
        <w:rPr>
          <w:rFonts w:asciiTheme="minorHAnsi" w:hAnsiTheme="minorHAnsi" w:cstheme="minorHAnsi"/>
          <w:i/>
          <w:iCs/>
          <w:sz w:val="16"/>
          <w:szCs w:val="16"/>
        </w:rPr>
        <w:t>Equity in Education: Breaking down barriers to social mobility</w:t>
      </w:r>
      <w:r w:rsidR="00654B96">
        <w:rPr>
          <w:rFonts w:asciiTheme="minorHAnsi" w:hAnsiTheme="minorHAnsi" w:cstheme="minorHAnsi"/>
          <w:sz w:val="16"/>
          <w:szCs w:val="16"/>
        </w:rPr>
        <w:t xml:space="preserve">, p.122, </w:t>
      </w:r>
      <w:r w:rsidR="00654B96">
        <w:t xml:space="preserve"> </w:t>
      </w:r>
      <w:r w:rsidR="00654B96" w:rsidRPr="00654B96">
        <w:rPr>
          <w:rStyle w:val="Hyperlink"/>
          <w:rFonts w:asciiTheme="minorHAnsi" w:eastAsiaTheme="minorHAnsi" w:hAnsiTheme="minorHAnsi" w:cstheme="minorHAnsi"/>
          <w:sz w:val="16"/>
          <w:szCs w:val="16"/>
          <w:lang w:eastAsia="en-US"/>
        </w:rPr>
        <w:t>https://www.oecd-ilibrary.org/education/equity-in-education_9789264073234-en</w:t>
      </w:r>
    </w:p>
  </w:endnote>
  <w:endnote w:id="17">
    <w:p w14:paraId="73D85B67" w14:textId="6E5A2E76" w:rsidR="007734AC" w:rsidRDefault="007734AC">
      <w:pPr>
        <w:pStyle w:val="EndnoteText"/>
      </w:pPr>
      <w:r w:rsidRPr="00407139">
        <w:rPr>
          <w:rStyle w:val="EndnoteReference"/>
        </w:rPr>
        <w:endnoteRef/>
      </w:r>
      <w:r w:rsidRPr="00407139">
        <w:rPr>
          <w:rStyle w:val="EndnoteReference"/>
        </w:rPr>
        <w:t xml:space="preserve"> I</w:t>
      </w:r>
      <w:r w:rsidRPr="007734AC">
        <w:rPr>
          <w:rFonts w:asciiTheme="minorHAnsi" w:eastAsiaTheme="minorHAnsi" w:hAnsiTheme="minorHAnsi" w:cstheme="minorHAnsi"/>
          <w:sz w:val="16"/>
          <w:szCs w:val="16"/>
          <w:lang w:val="en-GB" w:eastAsia="en-US"/>
        </w:rPr>
        <w:t xml:space="preserve"> Ting, R Liu &amp; A Palmer, ‘Counting the cost of the education revolution’, </w:t>
      </w:r>
      <w:r w:rsidRPr="007734AC">
        <w:rPr>
          <w:rFonts w:asciiTheme="minorHAnsi" w:eastAsiaTheme="minorHAnsi" w:hAnsiTheme="minorHAnsi" w:cstheme="minorHAnsi"/>
          <w:i/>
          <w:iCs/>
          <w:sz w:val="16"/>
          <w:szCs w:val="16"/>
          <w:lang w:val="en-GB" w:eastAsia="en-US"/>
        </w:rPr>
        <w:t>ABC News</w:t>
      </w:r>
      <w:r w:rsidRPr="007734AC">
        <w:rPr>
          <w:rFonts w:asciiTheme="minorHAnsi" w:eastAsiaTheme="minorHAnsi" w:hAnsiTheme="minorHAnsi" w:cstheme="minorHAnsi"/>
          <w:sz w:val="16"/>
          <w:szCs w:val="16"/>
          <w:lang w:val="en-GB" w:eastAsia="en-US"/>
        </w:rPr>
        <w:t>, 30 June 2020. &lt;www.abc.net.au/news/2018-11-22/counting-the-cost-of- the-education-revolution/10495756&gt;.</w:t>
      </w:r>
    </w:p>
  </w:endnote>
  <w:endnote w:id="18">
    <w:p w14:paraId="0607FB8A" w14:textId="47F144DB" w:rsidR="00B950B8" w:rsidRPr="00D70C64" w:rsidRDefault="00B950B8" w:rsidP="00D70C64">
      <w:pPr>
        <w:autoSpaceDE w:val="0"/>
        <w:autoSpaceDN w:val="0"/>
        <w:adjustRightInd w:val="0"/>
        <w:rPr>
          <w:rFonts w:asciiTheme="minorHAnsi" w:eastAsiaTheme="minorHAnsi" w:hAnsiTheme="minorHAnsi" w:cstheme="minorHAnsi"/>
          <w:sz w:val="16"/>
          <w:szCs w:val="16"/>
          <w:lang w:val="en-GB" w:eastAsia="en-US"/>
        </w:rPr>
      </w:pPr>
      <w:r w:rsidRPr="00407139">
        <w:rPr>
          <w:rStyle w:val="EndnoteReference"/>
          <w:sz w:val="20"/>
          <w:szCs w:val="20"/>
        </w:rPr>
        <w:endnoteRef/>
      </w:r>
      <w:r w:rsidRPr="00407139">
        <w:rPr>
          <w:rStyle w:val="EndnoteReference"/>
          <w:sz w:val="20"/>
          <w:szCs w:val="20"/>
        </w:rPr>
        <w:t xml:space="preserve"> </w:t>
      </w:r>
      <w:dir w:val="ltr">
        <w:r w:rsidRPr="00B950B8">
          <w:rPr>
            <w:rFonts w:asciiTheme="minorHAnsi" w:eastAsiaTheme="minorHAnsi" w:hAnsiTheme="minorHAnsi" w:cstheme="minorHAnsi"/>
            <w:sz w:val="16"/>
            <w:szCs w:val="16"/>
            <w:lang w:val="en-GB" w:eastAsia="en-US"/>
          </w:rPr>
          <w:t xml:space="preserve">Australian Curriculum, Assessment and Reporting Authority (ACARA) 2022, National Report on Schooling in Australia 2020 </w:t>
        </w:r>
        <w:r w:rsidRPr="00B950B8">
          <w:rPr>
            <w:rFonts w:asciiTheme="minorHAnsi" w:eastAsiaTheme="minorHAnsi" w:hAnsiTheme="minorHAnsi" w:cstheme="minorHAnsi"/>
            <w:sz w:val="16"/>
            <w:szCs w:val="16"/>
            <w:lang w:val="en-GB" w:eastAsia="en-US"/>
          </w:rPr>
          <w:t>‬p. 103</w:t>
        </w:r>
        <w:r>
          <w:rPr>
            <w:rFonts w:asciiTheme="minorHAnsi" w:eastAsiaTheme="minorHAnsi" w:hAnsiTheme="minorHAnsi" w:cstheme="minorHAnsi"/>
            <w:sz w:val="16"/>
            <w:szCs w:val="16"/>
            <w:lang w:val="en-GB" w:eastAsia="en-US"/>
          </w:rPr>
          <w:br/>
        </w:r>
        <w:hyperlink r:id="rId12" w:history="1">
          <w:r w:rsidRPr="00D815F8">
            <w:rPr>
              <w:rStyle w:val="Hyperlink"/>
              <w:rFonts w:asciiTheme="minorHAnsi" w:eastAsiaTheme="minorHAnsi" w:hAnsiTheme="minorHAnsi" w:cstheme="minorHAnsi"/>
              <w:sz w:val="16"/>
              <w:szCs w:val="16"/>
              <w:lang w:val="en-GB" w:eastAsia="en-US"/>
            </w:rPr>
            <w:t>https://www.acara.edu.au/docs/default-source/default-document-library/national-report-on-schooling-in-australia-2020.pdf?sfvrsn=3faa4c07_0</w:t>
          </w:r>
        </w:hyperlink>
        <w:r>
          <w:rPr>
            <w:rFonts w:asciiTheme="minorHAnsi" w:eastAsiaTheme="minorHAnsi" w:hAnsiTheme="minorHAnsi" w:cstheme="minorHAnsi"/>
            <w:sz w:val="16"/>
            <w:szCs w:val="16"/>
            <w:lang w:val="en-GB" w:eastAsia="en-US"/>
          </w:rPr>
          <w:t xml:space="preserve"> </w:t>
        </w:r>
        <w:r w:rsidR="00D75658">
          <w:t>‬</w:t>
        </w:r>
        <w:r w:rsidR="00085F4A">
          <w:t>‬</w:t>
        </w:r>
        <w:r w:rsidR="006249F2">
          <w:t>‬</w:t>
        </w:r>
        <w:r w:rsidR="00F544EC">
          <w:t>‬</w:t>
        </w:r>
        <w:r w:rsidR="008A0DB3">
          <w:t>‬</w:t>
        </w:r>
        <w:r w:rsidR="00941F1A">
          <w:t>‬</w:t>
        </w:r>
        <w:r w:rsidR="00EE5250">
          <w:t>‬</w:t>
        </w:r>
        <w:r w:rsidR="00FA7C29">
          <w:t>‬</w:t>
        </w:r>
        <w:r w:rsidR="00754A8F">
          <w:t>‬</w:t>
        </w:r>
        <w:r w:rsidR="00DC65E2">
          <w:t>‬</w:t>
        </w:r>
        <w:r w:rsidR="00520708">
          <w:t>‬</w:t>
        </w:r>
      </w:dir>
    </w:p>
  </w:endnote>
  <w:endnote w:id="19">
    <w:p w14:paraId="50D38FEB" w14:textId="19309122" w:rsidR="00D70C64" w:rsidRPr="00D70C64" w:rsidRDefault="00D70C64">
      <w:pPr>
        <w:pStyle w:val="EndnoteText"/>
        <w:rPr>
          <w:rFonts w:asciiTheme="minorHAnsi" w:hAnsiTheme="minorHAnsi" w:cstheme="minorHAnsi"/>
          <w:sz w:val="16"/>
          <w:szCs w:val="16"/>
        </w:rPr>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pp. 87-91</w:t>
      </w:r>
      <w:r w:rsidR="00B02B67">
        <w:rPr>
          <w:rFonts w:asciiTheme="minorHAnsi" w:hAnsiTheme="minorHAnsi" w:cstheme="minorHAnsi"/>
          <w:sz w:val="16"/>
          <w:szCs w:val="16"/>
        </w:rPr>
        <w:t xml:space="preserve"> &amp; pp. 243-245</w:t>
      </w:r>
    </w:p>
  </w:endnote>
  <w:endnote w:id="20">
    <w:p w14:paraId="4ECA010E" w14:textId="669A2AB7" w:rsidR="00C372A5" w:rsidRPr="00C372A5" w:rsidRDefault="00C372A5">
      <w:pPr>
        <w:pStyle w:val="EndnoteText"/>
        <w:rPr>
          <w:rFonts w:asciiTheme="minorHAnsi" w:hAnsiTheme="minorHAnsi" w:cstheme="minorHAnsi"/>
          <w:sz w:val="16"/>
          <w:szCs w:val="16"/>
        </w:rPr>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pp. 108-113</w:t>
      </w:r>
    </w:p>
  </w:endnote>
  <w:endnote w:id="21">
    <w:p w14:paraId="3E506C25" w14:textId="1167CDC5" w:rsidR="00643080" w:rsidRDefault="00643080">
      <w:pPr>
        <w:pStyle w:val="EndnoteText"/>
      </w:pPr>
      <w:r>
        <w:rPr>
          <w:rStyle w:val="EndnoteReference"/>
        </w:rPr>
        <w:endnoteRef/>
      </w:r>
      <w:r>
        <w:t xml:space="preserve"> </w:t>
      </w:r>
      <w:r w:rsidRPr="00643080">
        <w:rPr>
          <w:rFonts w:ascii="AppleSystemUIFont" w:eastAsiaTheme="minorHAnsi" w:hAnsi="AppleSystemUIFont" w:cs="AppleSystemUIFont"/>
          <w:sz w:val="16"/>
          <w:szCs w:val="16"/>
          <w:lang w:val="en-GB" w:eastAsia="en-US"/>
        </w:rPr>
        <w:t xml:space="preserve">T Greenwell, ‘Less choice, less affordability: The private school subsidy paradox’, </w:t>
      </w:r>
      <w:r w:rsidRPr="00643080">
        <w:rPr>
          <w:rFonts w:ascii="MS Gothic" w:eastAsia="MS Gothic" w:hAnsi="MS Gothic" w:cs="MS Gothic" w:hint="eastAsia"/>
          <w:sz w:val="16"/>
          <w:szCs w:val="16"/>
          <w:lang w:val="en-GB" w:eastAsia="en-US"/>
        </w:rPr>
        <w:t> </w:t>
      </w:r>
      <w:r w:rsidRPr="00643080">
        <w:rPr>
          <w:rFonts w:ascii="AppleSystemUIFontItalic" w:eastAsiaTheme="minorHAnsi" w:hAnsi="AppleSystemUIFontItalic" w:cs="AppleSystemUIFontItalic"/>
          <w:i/>
          <w:iCs/>
          <w:sz w:val="16"/>
          <w:szCs w:val="16"/>
          <w:lang w:val="en-GB" w:eastAsia="en-US"/>
        </w:rPr>
        <w:t>Inside Story</w:t>
      </w:r>
      <w:r w:rsidRPr="00643080">
        <w:rPr>
          <w:rFonts w:ascii="AppleSystemUIFont" w:eastAsiaTheme="minorHAnsi" w:hAnsi="AppleSystemUIFont" w:cs="AppleSystemUIFont"/>
          <w:sz w:val="16"/>
          <w:szCs w:val="16"/>
          <w:lang w:val="en-GB" w:eastAsia="en-US"/>
        </w:rPr>
        <w:t xml:space="preserve">, 24 January 2020. &lt;insidestory.org.au/less-choice-less-affordability- </w:t>
      </w:r>
      <w:r w:rsidRPr="00643080">
        <w:rPr>
          <w:rFonts w:ascii="MS Gothic" w:eastAsia="MS Gothic" w:hAnsi="MS Gothic" w:cs="MS Gothic" w:hint="eastAsia"/>
          <w:sz w:val="16"/>
          <w:szCs w:val="16"/>
          <w:lang w:val="en-GB" w:eastAsia="en-US"/>
        </w:rPr>
        <w:t> </w:t>
      </w:r>
      <w:r w:rsidRPr="00643080">
        <w:rPr>
          <w:rFonts w:ascii="AppleSystemUIFont" w:eastAsiaTheme="minorHAnsi" w:hAnsi="AppleSystemUIFont" w:cs="AppleSystemUIFont"/>
          <w:sz w:val="16"/>
          <w:szCs w:val="16"/>
          <w:lang w:val="en-GB" w:eastAsia="en-US"/>
        </w:rPr>
        <w:t>the-private-school-subsidy-paradox/&gt;.</w:t>
      </w:r>
    </w:p>
  </w:endnote>
  <w:endnote w:id="22">
    <w:p w14:paraId="51F83C23" w14:textId="7090A439" w:rsidR="00407139" w:rsidRDefault="00407139">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85</w:t>
      </w:r>
    </w:p>
  </w:endnote>
  <w:endnote w:id="23">
    <w:p w14:paraId="61DCA38C" w14:textId="6AE7B8D6" w:rsidR="008662CF" w:rsidRDefault="008662CF">
      <w:pPr>
        <w:pStyle w:val="EndnoteText"/>
      </w:pPr>
      <w:r>
        <w:rPr>
          <w:rStyle w:val="EndnoteReference"/>
        </w:rPr>
        <w:endnoteRef/>
      </w:r>
      <w:r>
        <w:t xml:space="preserve"> </w:t>
      </w:r>
      <w:r w:rsidRPr="008662CF">
        <w:rPr>
          <w:rFonts w:asciiTheme="minorHAnsi" w:eastAsiaTheme="minorHAnsi" w:hAnsiTheme="minorHAnsi" w:cstheme="minorHAnsi"/>
          <w:sz w:val="16"/>
          <w:szCs w:val="16"/>
          <w:lang w:val="en-GB" w:eastAsia="en-US"/>
        </w:rPr>
        <w:t>S Thomson, L De Bortoli, C Underwood &amp; M Schmid, ‘PISA in Brief: Student Performance’, Australian Council for Educational Research,</w:t>
      </w:r>
      <w:r w:rsidRPr="008662CF">
        <w:rPr>
          <w:rFonts w:ascii="MS Gothic" w:eastAsia="MS Gothic" w:hAnsi="MS Gothic" w:cs="MS Gothic" w:hint="eastAsia"/>
          <w:sz w:val="16"/>
          <w:szCs w:val="16"/>
          <w:lang w:val="en-GB" w:eastAsia="en-US"/>
        </w:rPr>
        <w:t> </w:t>
      </w:r>
      <w:r w:rsidRPr="008662CF">
        <w:rPr>
          <w:rFonts w:asciiTheme="minorHAnsi" w:eastAsiaTheme="minorHAnsi" w:hAnsiTheme="minorHAnsi" w:cstheme="minorHAnsi"/>
          <w:sz w:val="16"/>
          <w:szCs w:val="16"/>
          <w:lang w:val="en-GB" w:eastAsia="en-US"/>
        </w:rPr>
        <w:t>under contract with the Commonwealth of Australia as represented by the Department of Education, 2019, p. 18. &lt;research.acer.edu.au/cgi/viewcontent. cgi?article=1036&amp;context=ozpisa&gt;.</w:t>
      </w:r>
      <w:r>
        <w:rPr>
          <w:rFonts w:asciiTheme="minorHAnsi" w:eastAsiaTheme="minorHAnsi" w:hAnsiTheme="minorHAnsi" w:cstheme="minorHAnsi"/>
          <w:sz w:val="16"/>
          <w:szCs w:val="16"/>
          <w:lang w:val="en-GB" w:eastAsia="en-US"/>
        </w:rPr>
        <w:t xml:space="preserve"> </w:t>
      </w:r>
    </w:p>
  </w:endnote>
  <w:endnote w:id="24">
    <w:p w14:paraId="573D69AA" w14:textId="74F52EA8" w:rsidR="00EC0D2F" w:rsidRPr="00EC0D2F" w:rsidRDefault="00EC0D2F" w:rsidP="00EC0D2F">
      <w:pPr>
        <w:pStyle w:val="NormalWeb"/>
        <w:spacing w:before="0" w:beforeAutospacing="0" w:after="0" w:afterAutospacing="0"/>
        <w:rPr>
          <w:rFonts w:asciiTheme="minorHAnsi" w:hAnsiTheme="minorHAnsi" w:cstheme="minorHAnsi"/>
          <w:sz w:val="16"/>
          <w:szCs w:val="16"/>
        </w:rPr>
      </w:pPr>
      <w:r w:rsidRPr="00EC0D2F">
        <w:rPr>
          <w:rStyle w:val="EndnoteReference"/>
          <w:sz w:val="20"/>
          <w:szCs w:val="20"/>
          <w:lang w:eastAsia="en-GB"/>
        </w:rPr>
        <w:endnoteRef/>
      </w:r>
      <w:r w:rsidRPr="00EC0D2F">
        <w:rPr>
          <w:rStyle w:val="EndnoteReference"/>
          <w:sz w:val="20"/>
          <w:szCs w:val="20"/>
          <w:lang w:eastAsia="en-GB"/>
        </w:rPr>
        <w:t xml:space="preserve"> </w:t>
      </w:r>
      <w:r w:rsidRPr="00EC0D2F">
        <w:rPr>
          <w:rFonts w:asciiTheme="minorHAnsi" w:hAnsiTheme="minorHAnsi" w:cstheme="minorHAnsi"/>
          <w:color w:val="000000"/>
          <w:sz w:val="16"/>
          <w:szCs w:val="16"/>
        </w:rPr>
        <w:t>Ainley &amp; Gebhart (2013) , Measure for measure: A review of outcomes school education in Australia, p.15</w:t>
      </w:r>
    </w:p>
    <w:p w14:paraId="13DAD1F9" w14:textId="3113C2EC" w:rsidR="00EC0D2F" w:rsidRPr="00F368DE" w:rsidRDefault="00520708" w:rsidP="00F368DE">
      <w:pPr>
        <w:rPr>
          <w:rFonts w:asciiTheme="minorHAnsi" w:hAnsiTheme="minorHAnsi" w:cstheme="minorHAnsi"/>
          <w:sz w:val="16"/>
          <w:szCs w:val="16"/>
        </w:rPr>
      </w:pPr>
      <w:hyperlink r:id="rId13" w:history="1">
        <w:r w:rsidR="00EC0D2F" w:rsidRPr="00EC0D2F">
          <w:rPr>
            <w:rStyle w:val="Hyperlink"/>
            <w:rFonts w:asciiTheme="minorHAnsi" w:hAnsiTheme="minorHAnsi" w:cstheme="minorHAnsi"/>
            <w:color w:val="1155CC"/>
            <w:sz w:val="16"/>
            <w:szCs w:val="16"/>
          </w:rPr>
          <w:t>https://research.acer.edu.au/ar_misc/15/</w:t>
        </w:r>
      </w:hyperlink>
      <w:r w:rsidR="00EC0D2F" w:rsidRPr="00EC0D2F">
        <w:rPr>
          <w:rFonts w:asciiTheme="minorHAnsi" w:hAnsiTheme="minorHAnsi" w:cstheme="minorHAnsi"/>
          <w:color w:val="000000"/>
          <w:sz w:val="16"/>
          <w:szCs w:val="16"/>
        </w:rPr>
        <w:t xml:space="preserve"> </w:t>
      </w:r>
    </w:p>
  </w:endnote>
  <w:endnote w:id="25">
    <w:p w14:paraId="04FC387F" w14:textId="1A04F3E6" w:rsidR="00F368DE" w:rsidRDefault="00F368DE" w:rsidP="00F368DE">
      <w:r w:rsidRPr="00F368DE">
        <w:rPr>
          <w:rStyle w:val="EndnoteReference"/>
          <w:sz w:val="20"/>
          <w:szCs w:val="20"/>
        </w:rPr>
        <w:endnoteRef/>
      </w:r>
      <w:r>
        <w:t xml:space="preserve"> </w:t>
      </w:r>
      <w:r w:rsidRPr="00F368DE">
        <w:rPr>
          <w:rFonts w:asciiTheme="minorHAnsi" w:hAnsiTheme="minorHAnsi" w:cstheme="minorHAnsi"/>
          <w:color w:val="000000"/>
          <w:sz w:val="16"/>
          <w:szCs w:val="16"/>
        </w:rPr>
        <w:t xml:space="preserve">Hattie (2016), Shifting away from distractions to improve Australia's schools: Time for a Reboot </w:t>
      </w:r>
      <w:hyperlink r:id="rId14" w:history="1">
        <w:r w:rsidRPr="00F368DE">
          <w:rPr>
            <w:rStyle w:val="Hyperlink"/>
            <w:rFonts w:asciiTheme="minorHAnsi" w:hAnsiTheme="minorHAnsi" w:cstheme="minorHAnsi"/>
            <w:color w:val="1155CC"/>
            <w:sz w:val="16"/>
            <w:szCs w:val="16"/>
          </w:rPr>
          <w:t>https://goodtogreatschools.org.au/wp-content/uploads/2017/05/John-Hattie-Jack-Keating-Memorial-Lecture-2016-transcript.pdf</w:t>
        </w:r>
      </w:hyperlink>
    </w:p>
  </w:endnote>
  <w:endnote w:id="26">
    <w:p w14:paraId="4ACDCB24" w14:textId="77777777" w:rsidR="00F368DE" w:rsidRPr="00F368DE" w:rsidRDefault="00F368DE" w:rsidP="00F368DE">
      <w:pPr>
        <w:pStyle w:val="NormalWeb"/>
        <w:spacing w:before="0" w:beforeAutospacing="0" w:after="0" w:afterAutospacing="0"/>
        <w:rPr>
          <w:rFonts w:asciiTheme="minorHAnsi" w:hAnsiTheme="minorHAnsi" w:cstheme="minorHAnsi"/>
          <w:color w:val="000000"/>
          <w:sz w:val="16"/>
          <w:szCs w:val="16"/>
          <w:lang w:eastAsia="en-GB"/>
        </w:rPr>
      </w:pPr>
      <w:r w:rsidRPr="00F368DE">
        <w:rPr>
          <w:rStyle w:val="EndnoteReference"/>
          <w:sz w:val="20"/>
          <w:szCs w:val="20"/>
        </w:rPr>
        <w:endnoteRef/>
      </w:r>
      <w:r>
        <w:t xml:space="preserve"> </w:t>
      </w:r>
      <w:r w:rsidRPr="00F368DE">
        <w:rPr>
          <w:rFonts w:asciiTheme="minorHAnsi" w:hAnsiTheme="minorHAnsi" w:cstheme="minorHAnsi"/>
          <w:color w:val="000000"/>
          <w:sz w:val="16"/>
          <w:szCs w:val="16"/>
          <w:lang w:eastAsia="en-GB"/>
        </w:rPr>
        <w:t>OECD (2019) Balancing School Choice and Equity: An International Perspective Based on PISA, PISA, OECD Publishing, Paris. p.82</w:t>
      </w:r>
    </w:p>
    <w:p w14:paraId="0FED5A3B" w14:textId="5980F0DC" w:rsidR="00F368DE" w:rsidRPr="002835D1" w:rsidRDefault="00520708" w:rsidP="002835D1">
      <w:pPr>
        <w:rPr>
          <w:sz w:val="16"/>
          <w:szCs w:val="16"/>
        </w:rPr>
      </w:pPr>
      <w:hyperlink r:id="rId15" w:history="1">
        <w:r w:rsidR="00F368DE" w:rsidRPr="00F368DE">
          <w:rPr>
            <w:rFonts w:asciiTheme="minorHAnsi" w:hAnsiTheme="minorHAnsi" w:cstheme="minorHAnsi"/>
            <w:color w:val="000000"/>
            <w:sz w:val="16"/>
            <w:szCs w:val="16"/>
          </w:rPr>
          <w:t>https://doi.org/10.1787/2592c974-en</w:t>
        </w:r>
      </w:hyperlink>
      <w:r w:rsidR="00F368DE" w:rsidRPr="00F368DE">
        <w:rPr>
          <w:rFonts w:asciiTheme="minorHAnsi" w:hAnsiTheme="minorHAnsi" w:cstheme="minorHAnsi"/>
          <w:color w:val="000000"/>
          <w:sz w:val="16"/>
          <w:szCs w:val="16"/>
        </w:rPr>
        <w:t xml:space="preserve">  </w:t>
      </w:r>
      <w:r w:rsidR="00F368DE" w:rsidRPr="00F368DE">
        <w:rPr>
          <w:rFonts w:ascii="Cambria" w:hAnsi="Cambria"/>
          <w:color w:val="000000"/>
          <w:sz w:val="16"/>
          <w:szCs w:val="16"/>
        </w:rPr>
        <w:t xml:space="preserve">  </w:t>
      </w:r>
    </w:p>
  </w:endnote>
  <w:endnote w:id="27">
    <w:p w14:paraId="771CDA74" w14:textId="556592D3" w:rsidR="002835D1" w:rsidRDefault="002835D1">
      <w:pPr>
        <w:pStyle w:val="EndnoteText"/>
      </w:pPr>
      <w:r>
        <w:rPr>
          <w:rStyle w:val="EndnoteReference"/>
        </w:rPr>
        <w:endnoteRef/>
      </w:r>
      <w:r>
        <w:t xml:space="preserve"> </w:t>
      </w:r>
      <w:r w:rsidR="00C4181F">
        <w:rPr>
          <w:rFonts w:asciiTheme="minorHAnsi" w:eastAsiaTheme="minorHAnsi" w:hAnsiTheme="minorHAnsi" w:cstheme="minorHAnsi"/>
          <w:sz w:val="16"/>
          <w:szCs w:val="16"/>
        </w:rPr>
        <w:t>Cobbold (2021), P</w:t>
      </w:r>
      <w:r w:rsidRPr="002835D1">
        <w:rPr>
          <w:rFonts w:asciiTheme="minorHAnsi" w:eastAsiaTheme="minorHAnsi" w:hAnsiTheme="minorHAnsi" w:cstheme="minorHAnsi"/>
          <w:sz w:val="16"/>
          <w:szCs w:val="16"/>
        </w:rPr>
        <w:t>rivate Schools Over-Funded by $6 Billion: Public Schools Under-Funded by $60 Billion</w:t>
      </w:r>
      <w:r w:rsidR="00C4181F">
        <w:rPr>
          <w:rFonts w:asciiTheme="minorHAnsi" w:eastAsiaTheme="minorHAnsi" w:hAnsiTheme="minorHAnsi" w:cstheme="minorHAnsi"/>
          <w:sz w:val="16"/>
          <w:szCs w:val="16"/>
        </w:rPr>
        <w:t>,</w:t>
      </w:r>
      <w:r w:rsidRPr="002835D1">
        <w:rPr>
          <w:rFonts w:asciiTheme="minorHAnsi" w:eastAsiaTheme="minorHAnsi" w:hAnsiTheme="minorHAnsi" w:cstheme="minorHAnsi"/>
          <w:sz w:val="16"/>
          <w:szCs w:val="16"/>
        </w:rPr>
        <w:t xml:space="preserve"> Trevor Cobbold</w:t>
      </w:r>
      <w:r w:rsidR="00C4181F">
        <w:rPr>
          <w:rFonts w:asciiTheme="minorHAnsi" w:eastAsiaTheme="minorHAnsi" w:hAnsiTheme="minorHAnsi" w:cstheme="minorHAnsi"/>
          <w:sz w:val="16"/>
          <w:szCs w:val="16"/>
        </w:rPr>
        <w:t xml:space="preserve">, </w:t>
      </w:r>
      <w:r w:rsidRPr="002835D1">
        <w:rPr>
          <w:rFonts w:asciiTheme="minorHAnsi" w:eastAsiaTheme="minorHAnsi" w:hAnsiTheme="minorHAnsi" w:cstheme="minorHAnsi"/>
          <w:sz w:val="16"/>
          <w:szCs w:val="16"/>
        </w:rPr>
        <w:t>February 14, 2021</w:t>
      </w:r>
      <w:r w:rsidRPr="002835D1">
        <w:rPr>
          <w:rFonts w:ascii="MS Gothic" w:eastAsia="MS Gothic" w:hAnsi="MS Gothic" w:cs="MS Gothic" w:hint="eastAsia"/>
          <w:sz w:val="16"/>
          <w:szCs w:val="16"/>
        </w:rPr>
        <w:t> </w:t>
      </w:r>
      <w:hyperlink r:id="rId16" w:history="1">
        <w:r w:rsidRPr="002835D1">
          <w:rPr>
            <w:rStyle w:val="Hyperlink"/>
            <w:rFonts w:asciiTheme="minorHAnsi" w:eastAsiaTheme="minorHAnsi" w:hAnsiTheme="minorHAnsi" w:cstheme="minorHAnsi"/>
            <w:sz w:val="16"/>
            <w:szCs w:val="16"/>
          </w:rPr>
          <w:t>https://saveourschools.com.au/media-releases/private-schools-over-funded-by-6-billion-public-schools-under-funded-by-60-billion/</w:t>
        </w:r>
      </w:hyperlink>
      <w:r>
        <w:rPr>
          <w:rFonts w:ascii="AppleSystemUIFont" w:eastAsiaTheme="minorHAnsi" w:hAnsi="AppleSystemUIFont" w:cs="AppleSystemUIFont"/>
          <w:lang w:val="en-GB" w:eastAsia="en-US"/>
        </w:rPr>
        <w:t xml:space="preserve">  </w:t>
      </w:r>
    </w:p>
  </w:endnote>
  <w:endnote w:id="28">
    <w:p w14:paraId="59796250" w14:textId="154BB6EE" w:rsidR="00C4181F" w:rsidRDefault="00C4181F">
      <w:pPr>
        <w:pStyle w:val="EndnoteText"/>
      </w:pPr>
      <w:r>
        <w:rPr>
          <w:rStyle w:val="EndnoteReference"/>
        </w:rPr>
        <w:endnoteRef/>
      </w:r>
      <w:r>
        <w:t xml:space="preserve"> </w:t>
      </w:r>
      <w:r>
        <w:rPr>
          <w:rFonts w:asciiTheme="minorHAnsi" w:eastAsiaTheme="minorHAnsi" w:hAnsiTheme="minorHAnsi" w:cstheme="minorHAnsi"/>
          <w:sz w:val="16"/>
          <w:szCs w:val="16"/>
        </w:rPr>
        <w:t>Cobbold (2022), S</w:t>
      </w:r>
      <w:r w:rsidRPr="00C4181F">
        <w:rPr>
          <w:rFonts w:asciiTheme="minorHAnsi" w:eastAsiaTheme="minorHAnsi" w:hAnsiTheme="minorHAnsi" w:cstheme="minorHAnsi"/>
          <w:sz w:val="16"/>
          <w:szCs w:val="16"/>
        </w:rPr>
        <w:t>tuart Robert’s Duplicities on School Funding and Outcomes</w:t>
      </w:r>
      <w:r>
        <w:rPr>
          <w:rFonts w:asciiTheme="minorHAnsi" w:eastAsiaTheme="minorHAnsi" w:hAnsiTheme="minorHAnsi" w:cstheme="minorHAnsi"/>
          <w:sz w:val="16"/>
          <w:szCs w:val="16"/>
        </w:rPr>
        <w:t>,</w:t>
      </w:r>
      <w:r w:rsidRPr="00C4181F">
        <w:rPr>
          <w:rFonts w:asciiTheme="minorHAnsi" w:eastAsiaTheme="minorHAnsi" w:hAnsiTheme="minorHAnsi" w:cstheme="minorHAnsi"/>
          <w:sz w:val="16"/>
          <w:szCs w:val="16"/>
        </w:rPr>
        <w:t xml:space="preserve"> Trevor Cobbold</w:t>
      </w:r>
      <w:r>
        <w:rPr>
          <w:rFonts w:asciiTheme="minorHAnsi" w:eastAsiaTheme="minorHAnsi" w:hAnsiTheme="minorHAnsi" w:cstheme="minorHAnsi"/>
          <w:sz w:val="16"/>
          <w:szCs w:val="16"/>
        </w:rPr>
        <w:t xml:space="preserve">, </w:t>
      </w:r>
      <w:r w:rsidRPr="00C4181F">
        <w:rPr>
          <w:rFonts w:asciiTheme="minorHAnsi" w:eastAsiaTheme="minorHAnsi" w:hAnsiTheme="minorHAnsi" w:cstheme="minorHAnsi"/>
          <w:sz w:val="16"/>
          <w:szCs w:val="16"/>
        </w:rPr>
        <w:t xml:space="preserve">May 16, 2022  </w:t>
      </w:r>
      <w:r w:rsidRPr="00C4181F">
        <w:rPr>
          <w:rFonts w:ascii="MS Gothic" w:eastAsia="MS Gothic" w:hAnsi="MS Gothic" w:cs="MS Gothic" w:hint="eastAsia"/>
          <w:sz w:val="16"/>
          <w:szCs w:val="16"/>
        </w:rPr>
        <w:t> </w:t>
      </w:r>
      <w:hyperlink r:id="rId17" w:history="1">
        <w:r w:rsidRPr="00C4181F">
          <w:rPr>
            <w:rStyle w:val="Hyperlink"/>
            <w:rFonts w:asciiTheme="minorHAnsi" w:eastAsiaTheme="minorHAnsi" w:hAnsiTheme="minorHAnsi" w:cstheme="minorHAnsi"/>
            <w:sz w:val="16"/>
            <w:szCs w:val="16"/>
          </w:rPr>
          <w:t>https://saveourschools.com.au/funding/stuart-roberts-duplicities-on-school-funding-and-outcomes/</w:t>
        </w:r>
      </w:hyperlink>
    </w:p>
  </w:endnote>
  <w:endnote w:id="29">
    <w:p w14:paraId="0DF7986D" w14:textId="0A1AF909" w:rsidR="00CA0016" w:rsidRDefault="00CA0016">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253</w:t>
      </w:r>
    </w:p>
  </w:endnote>
  <w:endnote w:id="30">
    <w:p w14:paraId="4EDDF201" w14:textId="1D6BFA8F" w:rsidR="00CA0016" w:rsidRPr="007528B0" w:rsidRDefault="00CA0016">
      <w:pPr>
        <w:pStyle w:val="EndnoteText"/>
        <w:rPr>
          <w:sz w:val="16"/>
          <w:szCs w:val="16"/>
        </w:rPr>
      </w:pPr>
      <w:r>
        <w:rPr>
          <w:rStyle w:val="EndnoteReference"/>
        </w:rPr>
        <w:endnoteRef/>
      </w:r>
      <w:r>
        <w:t xml:space="preserve"> </w:t>
      </w:r>
      <w:r w:rsidR="00002C8F" w:rsidRPr="00A145BD">
        <w:rPr>
          <w:rFonts w:asciiTheme="minorHAnsi" w:hAnsiTheme="minorHAnsi" w:cstheme="minorHAnsi"/>
          <w:sz w:val="16"/>
          <w:szCs w:val="16"/>
        </w:rPr>
        <w:t>C Bonnor, C Ho &amp; G Richards, ‘A creeping Indigenous separation’, discussion paper, Centre for Policy Development, 2018.</w:t>
      </w:r>
    </w:p>
  </w:endnote>
  <w:endnote w:id="31">
    <w:p w14:paraId="3D5003BD" w14:textId="29544326" w:rsidR="00304467" w:rsidRDefault="00304467">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258/9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4181027"/>
      <w:docPartObj>
        <w:docPartGallery w:val="Page Numbers (Bottom of Page)"/>
        <w:docPartUnique/>
      </w:docPartObj>
    </w:sdtPr>
    <w:sdtEndPr>
      <w:rPr>
        <w:rStyle w:val="PageNumber"/>
      </w:rPr>
    </w:sdtEndPr>
    <w:sdtContent>
      <w:p w14:paraId="33C2CB15" w14:textId="39596A9A" w:rsidR="00654DE2" w:rsidRDefault="00654DE2" w:rsidP="00237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60AA3" w14:textId="77777777" w:rsidR="00654DE2" w:rsidRDefault="00654DE2" w:rsidP="00654D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918927"/>
      <w:docPartObj>
        <w:docPartGallery w:val="Page Numbers (Bottom of Page)"/>
        <w:docPartUnique/>
      </w:docPartObj>
    </w:sdtPr>
    <w:sdtEndPr>
      <w:rPr>
        <w:rStyle w:val="PageNumber"/>
      </w:rPr>
    </w:sdtEndPr>
    <w:sdtContent>
      <w:p w14:paraId="535DC7C3" w14:textId="40E02525" w:rsidR="00654DE2" w:rsidRDefault="00654DE2" w:rsidP="00237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49AF99" w14:textId="1E3F759C" w:rsidR="00343FBD" w:rsidRDefault="00654DE2" w:rsidP="00654DE2">
    <w:pPr>
      <w:pStyle w:val="Footer"/>
      <w:ind w:right="360"/>
    </w:pPr>
    <w:r w:rsidRPr="000339A3">
      <w:rPr>
        <w:rFonts w:asciiTheme="majorHAnsi" w:hAnsiTheme="majorHAnsi" w:cstheme="majorHAnsi"/>
        <w:b/>
        <w:bCs/>
        <w:sz w:val="22"/>
        <w:szCs w:val="22"/>
      </w:rPr>
      <w:t>Submission from Australian Learning Lecture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F245" w14:textId="77777777" w:rsidR="00520708" w:rsidRDefault="00520708" w:rsidP="00441AC6">
      <w:r>
        <w:separator/>
      </w:r>
    </w:p>
  </w:footnote>
  <w:footnote w:type="continuationSeparator" w:id="0">
    <w:p w14:paraId="17C87B3B" w14:textId="77777777" w:rsidR="00520708" w:rsidRDefault="00520708" w:rsidP="0044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F5D"/>
    <w:multiLevelType w:val="hybridMultilevel"/>
    <w:tmpl w:val="7D269924"/>
    <w:lvl w:ilvl="0" w:tplc="828CA884">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0390C"/>
    <w:multiLevelType w:val="hybridMultilevel"/>
    <w:tmpl w:val="AFBEA480"/>
    <w:lvl w:ilvl="0" w:tplc="39B4FBE8">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C1BA9"/>
    <w:multiLevelType w:val="hybridMultilevel"/>
    <w:tmpl w:val="9DC894EC"/>
    <w:lvl w:ilvl="0" w:tplc="70A28F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35E67"/>
    <w:multiLevelType w:val="hybridMultilevel"/>
    <w:tmpl w:val="4F48E70C"/>
    <w:lvl w:ilvl="0" w:tplc="CEA882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A22EC"/>
    <w:multiLevelType w:val="hybridMultilevel"/>
    <w:tmpl w:val="35B27D18"/>
    <w:lvl w:ilvl="0" w:tplc="A9A21D30">
      <w:start w:val="1"/>
      <w:numFmt w:val="decimal"/>
      <w:lvlText w:val="%1."/>
      <w:lvlJc w:val="left"/>
      <w:pPr>
        <w:ind w:left="360" w:hanging="360"/>
      </w:pPr>
      <w:rPr>
        <w:rFonts w:asciiTheme="minorHAnsi" w:hAnsiTheme="minorHAnsi" w:cstheme="minorHAnsi" w:hint="default"/>
        <w:b w:val="0"/>
        <w:bCs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5" w15:restartNumberingAfterBreak="0">
    <w:nsid w:val="4BA546E3"/>
    <w:multiLevelType w:val="hybridMultilevel"/>
    <w:tmpl w:val="76C625FA"/>
    <w:lvl w:ilvl="0" w:tplc="184A4632">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40437"/>
    <w:multiLevelType w:val="hybridMultilevel"/>
    <w:tmpl w:val="82EC1FB4"/>
    <w:lvl w:ilvl="0" w:tplc="CDF02CF0">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B4B33"/>
    <w:multiLevelType w:val="multilevel"/>
    <w:tmpl w:val="5EF66B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3B7"/>
    <w:multiLevelType w:val="hybridMultilevel"/>
    <w:tmpl w:val="402E7162"/>
    <w:lvl w:ilvl="0" w:tplc="3F5E8E34">
      <w:start w:val="4"/>
      <w:numFmt w:val="bullet"/>
      <w:lvlText w:val=""/>
      <w:lvlJc w:val="left"/>
      <w:pPr>
        <w:ind w:left="720" w:hanging="360"/>
      </w:pPr>
      <w:rPr>
        <w:rFonts w:ascii="Symbol" w:eastAsiaTheme="minorHAnsi"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A659BC"/>
    <w:multiLevelType w:val="hybridMultilevel"/>
    <w:tmpl w:val="5650CFBE"/>
    <w:lvl w:ilvl="0" w:tplc="02665D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038139">
    <w:abstractNumId w:val="4"/>
  </w:num>
  <w:num w:numId="2" w16cid:durableId="1601377048">
    <w:abstractNumId w:val="8"/>
  </w:num>
  <w:num w:numId="3" w16cid:durableId="183835579">
    <w:abstractNumId w:val="9"/>
  </w:num>
  <w:num w:numId="4" w16cid:durableId="1224829892">
    <w:abstractNumId w:val="2"/>
  </w:num>
  <w:num w:numId="5" w16cid:durableId="1740639690">
    <w:abstractNumId w:val="7"/>
  </w:num>
  <w:num w:numId="6" w16cid:durableId="676035112">
    <w:abstractNumId w:val="3"/>
  </w:num>
  <w:num w:numId="7" w16cid:durableId="108284442">
    <w:abstractNumId w:val="6"/>
  </w:num>
  <w:num w:numId="8" w16cid:durableId="608044788">
    <w:abstractNumId w:val="1"/>
  </w:num>
  <w:num w:numId="9" w16cid:durableId="1627466100">
    <w:abstractNumId w:val="5"/>
  </w:num>
  <w:num w:numId="10" w16cid:durableId="161474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3B"/>
    <w:rsid w:val="000006CF"/>
    <w:rsid w:val="00002C8F"/>
    <w:rsid w:val="000120D9"/>
    <w:rsid w:val="00020198"/>
    <w:rsid w:val="000339A3"/>
    <w:rsid w:val="0003574A"/>
    <w:rsid w:val="00050E4A"/>
    <w:rsid w:val="00055CFD"/>
    <w:rsid w:val="00083C62"/>
    <w:rsid w:val="000843CF"/>
    <w:rsid w:val="00085F4A"/>
    <w:rsid w:val="00086919"/>
    <w:rsid w:val="00087AC1"/>
    <w:rsid w:val="000934C5"/>
    <w:rsid w:val="0009359F"/>
    <w:rsid w:val="00097816"/>
    <w:rsid w:val="000A1402"/>
    <w:rsid w:val="000A5BF0"/>
    <w:rsid w:val="000B3C60"/>
    <w:rsid w:val="000C14AC"/>
    <w:rsid w:val="000D18C1"/>
    <w:rsid w:val="000D3E75"/>
    <w:rsid w:val="000E0B21"/>
    <w:rsid w:val="000E352A"/>
    <w:rsid w:val="000E670B"/>
    <w:rsid w:val="000F6AC3"/>
    <w:rsid w:val="00105B3E"/>
    <w:rsid w:val="001067BC"/>
    <w:rsid w:val="00110F7A"/>
    <w:rsid w:val="00116859"/>
    <w:rsid w:val="0012501A"/>
    <w:rsid w:val="00126E51"/>
    <w:rsid w:val="001375F2"/>
    <w:rsid w:val="00141404"/>
    <w:rsid w:val="00141F87"/>
    <w:rsid w:val="00142F65"/>
    <w:rsid w:val="001460ED"/>
    <w:rsid w:val="0016199B"/>
    <w:rsid w:val="00161C68"/>
    <w:rsid w:val="00162B0F"/>
    <w:rsid w:val="0016313E"/>
    <w:rsid w:val="00165F4D"/>
    <w:rsid w:val="00175630"/>
    <w:rsid w:val="00176E13"/>
    <w:rsid w:val="001868BF"/>
    <w:rsid w:val="001905A8"/>
    <w:rsid w:val="00197876"/>
    <w:rsid w:val="001B4C3F"/>
    <w:rsid w:val="001B7E40"/>
    <w:rsid w:val="001B7E8F"/>
    <w:rsid w:val="001C3FD3"/>
    <w:rsid w:val="001D6D78"/>
    <w:rsid w:val="001D78D9"/>
    <w:rsid w:val="001E3DCB"/>
    <w:rsid w:val="001E4197"/>
    <w:rsid w:val="001E6DD1"/>
    <w:rsid w:val="001F105B"/>
    <w:rsid w:val="00201DFD"/>
    <w:rsid w:val="00216979"/>
    <w:rsid w:val="00217D8E"/>
    <w:rsid w:val="002206DC"/>
    <w:rsid w:val="00225361"/>
    <w:rsid w:val="00231909"/>
    <w:rsid w:val="00235093"/>
    <w:rsid w:val="0024036D"/>
    <w:rsid w:val="00274882"/>
    <w:rsid w:val="002835D1"/>
    <w:rsid w:val="002858C1"/>
    <w:rsid w:val="002878F5"/>
    <w:rsid w:val="0029020D"/>
    <w:rsid w:val="00292E98"/>
    <w:rsid w:val="0029425A"/>
    <w:rsid w:val="002950F0"/>
    <w:rsid w:val="00295ED8"/>
    <w:rsid w:val="00297DB4"/>
    <w:rsid w:val="002A0C6B"/>
    <w:rsid w:val="002A501A"/>
    <w:rsid w:val="002D3020"/>
    <w:rsid w:val="00301416"/>
    <w:rsid w:val="00304467"/>
    <w:rsid w:val="00314034"/>
    <w:rsid w:val="00314403"/>
    <w:rsid w:val="00314E83"/>
    <w:rsid w:val="003154FC"/>
    <w:rsid w:val="00316EAE"/>
    <w:rsid w:val="003240B3"/>
    <w:rsid w:val="00343FBD"/>
    <w:rsid w:val="00345974"/>
    <w:rsid w:val="00365658"/>
    <w:rsid w:val="0037497F"/>
    <w:rsid w:val="00374A65"/>
    <w:rsid w:val="003779FF"/>
    <w:rsid w:val="00377AE9"/>
    <w:rsid w:val="0038485B"/>
    <w:rsid w:val="003965D8"/>
    <w:rsid w:val="003A0EB3"/>
    <w:rsid w:val="003C32BE"/>
    <w:rsid w:val="003D5919"/>
    <w:rsid w:val="003D7DD3"/>
    <w:rsid w:val="003E241E"/>
    <w:rsid w:val="00400D39"/>
    <w:rsid w:val="00407139"/>
    <w:rsid w:val="004223E7"/>
    <w:rsid w:val="00432A4B"/>
    <w:rsid w:val="004354C1"/>
    <w:rsid w:val="0043726A"/>
    <w:rsid w:val="00440239"/>
    <w:rsid w:val="00441AC6"/>
    <w:rsid w:val="004477FD"/>
    <w:rsid w:val="00447DD8"/>
    <w:rsid w:val="00454121"/>
    <w:rsid w:val="00463FD1"/>
    <w:rsid w:val="0046590D"/>
    <w:rsid w:val="00474C08"/>
    <w:rsid w:val="00480346"/>
    <w:rsid w:val="0048336D"/>
    <w:rsid w:val="004A23F5"/>
    <w:rsid w:val="004A49F0"/>
    <w:rsid w:val="004A6C32"/>
    <w:rsid w:val="004B4AA6"/>
    <w:rsid w:val="004B5AD6"/>
    <w:rsid w:val="004B79E7"/>
    <w:rsid w:val="004C4585"/>
    <w:rsid w:val="004E7456"/>
    <w:rsid w:val="00517410"/>
    <w:rsid w:val="00520708"/>
    <w:rsid w:val="0053128C"/>
    <w:rsid w:val="00534C29"/>
    <w:rsid w:val="00543906"/>
    <w:rsid w:val="005571E9"/>
    <w:rsid w:val="00566E4B"/>
    <w:rsid w:val="00574E02"/>
    <w:rsid w:val="00580134"/>
    <w:rsid w:val="00586FCC"/>
    <w:rsid w:val="005907AD"/>
    <w:rsid w:val="00592B9C"/>
    <w:rsid w:val="00594F06"/>
    <w:rsid w:val="005A0539"/>
    <w:rsid w:val="005A11F1"/>
    <w:rsid w:val="005B0712"/>
    <w:rsid w:val="005B0AF6"/>
    <w:rsid w:val="005B5573"/>
    <w:rsid w:val="005C1776"/>
    <w:rsid w:val="005C4028"/>
    <w:rsid w:val="005C6387"/>
    <w:rsid w:val="005D746D"/>
    <w:rsid w:val="005E5667"/>
    <w:rsid w:val="00604793"/>
    <w:rsid w:val="00604E67"/>
    <w:rsid w:val="006207FB"/>
    <w:rsid w:val="0062275B"/>
    <w:rsid w:val="006249F2"/>
    <w:rsid w:val="00643080"/>
    <w:rsid w:val="0065308A"/>
    <w:rsid w:val="00654B96"/>
    <w:rsid w:val="00654DE2"/>
    <w:rsid w:val="00660603"/>
    <w:rsid w:val="00665665"/>
    <w:rsid w:val="00672602"/>
    <w:rsid w:val="00680093"/>
    <w:rsid w:val="00683221"/>
    <w:rsid w:val="00685BB1"/>
    <w:rsid w:val="0069082C"/>
    <w:rsid w:val="00691D7E"/>
    <w:rsid w:val="00692A69"/>
    <w:rsid w:val="006A0275"/>
    <w:rsid w:val="006A5BB2"/>
    <w:rsid w:val="006A70F3"/>
    <w:rsid w:val="006A79C4"/>
    <w:rsid w:val="006B0E9B"/>
    <w:rsid w:val="006E0354"/>
    <w:rsid w:val="006E3374"/>
    <w:rsid w:val="006F3163"/>
    <w:rsid w:val="006F55D8"/>
    <w:rsid w:val="00705010"/>
    <w:rsid w:val="007055B4"/>
    <w:rsid w:val="007070AE"/>
    <w:rsid w:val="00712663"/>
    <w:rsid w:val="00716EE4"/>
    <w:rsid w:val="00720769"/>
    <w:rsid w:val="0073463D"/>
    <w:rsid w:val="00734CA7"/>
    <w:rsid w:val="00746D71"/>
    <w:rsid w:val="007528B0"/>
    <w:rsid w:val="00754A8F"/>
    <w:rsid w:val="00756049"/>
    <w:rsid w:val="007619BB"/>
    <w:rsid w:val="00762775"/>
    <w:rsid w:val="00772D83"/>
    <w:rsid w:val="007734AC"/>
    <w:rsid w:val="00782220"/>
    <w:rsid w:val="00790B4D"/>
    <w:rsid w:val="00793103"/>
    <w:rsid w:val="007A4932"/>
    <w:rsid w:val="007C708E"/>
    <w:rsid w:val="007D3908"/>
    <w:rsid w:val="007F59C2"/>
    <w:rsid w:val="007F72E7"/>
    <w:rsid w:val="00802614"/>
    <w:rsid w:val="008029A3"/>
    <w:rsid w:val="00804947"/>
    <w:rsid w:val="00813800"/>
    <w:rsid w:val="00822AD1"/>
    <w:rsid w:val="008234DE"/>
    <w:rsid w:val="00823878"/>
    <w:rsid w:val="00833831"/>
    <w:rsid w:val="0083705D"/>
    <w:rsid w:val="00841871"/>
    <w:rsid w:val="00843F5B"/>
    <w:rsid w:val="0085637B"/>
    <w:rsid w:val="008662CF"/>
    <w:rsid w:val="0087390E"/>
    <w:rsid w:val="00882847"/>
    <w:rsid w:val="0089340C"/>
    <w:rsid w:val="008A0DB3"/>
    <w:rsid w:val="008A13EF"/>
    <w:rsid w:val="008B144E"/>
    <w:rsid w:val="008C171F"/>
    <w:rsid w:val="008D577D"/>
    <w:rsid w:val="008D6010"/>
    <w:rsid w:val="008E5FB6"/>
    <w:rsid w:val="008F4935"/>
    <w:rsid w:val="00900E36"/>
    <w:rsid w:val="00931D30"/>
    <w:rsid w:val="00931DA5"/>
    <w:rsid w:val="00941F1A"/>
    <w:rsid w:val="00946869"/>
    <w:rsid w:val="00952D30"/>
    <w:rsid w:val="0096391A"/>
    <w:rsid w:val="00963EE0"/>
    <w:rsid w:val="00976D08"/>
    <w:rsid w:val="009829C8"/>
    <w:rsid w:val="00984F49"/>
    <w:rsid w:val="00995D7F"/>
    <w:rsid w:val="009A2AF0"/>
    <w:rsid w:val="009B1097"/>
    <w:rsid w:val="009B5FB3"/>
    <w:rsid w:val="009C495D"/>
    <w:rsid w:val="009D3BE5"/>
    <w:rsid w:val="009D72C6"/>
    <w:rsid w:val="009F33B9"/>
    <w:rsid w:val="00A01B9B"/>
    <w:rsid w:val="00A145BD"/>
    <w:rsid w:val="00A2044D"/>
    <w:rsid w:val="00A207FB"/>
    <w:rsid w:val="00A24E5C"/>
    <w:rsid w:val="00A41FE1"/>
    <w:rsid w:val="00A47D1E"/>
    <w:rsid w:val="00A5329F"/>
    <w:rsid w:val="00A62294"/>
    <w:rsid w:val="00A667E4"/>
    <w:rsid w:val="00A7190B"/>
    <w:rsid w:val="00A7514C"/>
    <w:rsid w:val="00A8186F"/>
    <w:rsid w:val="00A819A7"/>
    <w:rsid w:val="00A8488C"/>
    <w:rsid w:val="00A86140"/>
    <w:rsid w:val="00A95E67"/>
    <w:rsid w:val="00AA54F4"/>
    <w:rsid w:val="00AB62B0"/>
    <w:rsid w:val="00AB765C"/>
    <w:rsid w:val="00AC1DB3"/>
    <w:rsid w:val="00AD3778"/>
    <w:rsid w:val="00AE0F82"/>
    <w:rsid w:val="00B02B67"/>
    <w:rsid w:val="00B100A3"/>
    <w:rsid w:val="00B12F32"/>
    <w:rsid w:val="00B13F39"/>
    <w:rsid w:val="00B277F4"/>
    <w:rsid w:val="00B37A96"/>
    <w:rsid w:val="00B4368C"/>
    <w:rsid w:val="00B4484D"/>
    <w:rsid w:val="00B534E0"/>
    <w:rsid w:val="00B57195"/>
    <w:rsid w:val="00B57684"/>
    <w:rsid w:val="00B844DF"/>
    <w:rsid w:val="00B950B8"/>
    <w:rsid w:val="00BA0A75"/>
    <w:rsid w:val="00BB5521"/>
    <w:rsid w:val="00BC45A4"/>
    <w:rsid w:val="00BD0CB1"/>
    <w:rsid w:val="00BD5E29"/>
    <w:rsid w:val="00BE23D2"/>
    <w:rsid w:val="00BF4B86"/>
    <w:rsid w:val="00BF5304"/>
    <w:rsid w:val="00C06CC4"/>
    <w:rsid w:val="00C12DB9"/>
    <w:rsid w:val="00C15253"/>
    <w:rsid w:val="00C23883"/>
    <w:rsid w:val="00C35ADB"/>
    <w:rsid w:val="00C372A5"/>
    <w:rsid w:val="00C4181F"/>
    <w:rsid w:val="00C4683D"/>
    <w:rsid w:val="00C509C5"/>
    <w:rsid w:val="00C54A24"/>
    <w:rsid w:val="00C625F5"/>
    <w:rsid w:val="00C6273B"/>
    <w:rsid w:val="00C8311C"/>
    <w:rsid w:val="00C84E1D"/>
    <w:rsid w:val="00C92751"/>
    <w:rsid w:val="00C933F2"/>
    <w:rsid w:val="00C9390C"/>
    <w:rsid w:val="00CA0016"/>
    <w:rsid w:val="00CA15A6"/>
    <w:rsid w:val="00CA3BFA"/>
    <w:rsid w:val="00CA6428"/>
    <w:rsid w:val="00CB3CED"/>
    <w:rsid w:val="00CB7080"/>
    <w:rsid w:val="00CB73F3"/>
    <w:rsid w:val="00CE77D0"/>
    <w:rsid w:val="00CF053B"/>
    <w:rsid w:val="00CF5D5E"/>
    <w:rsid w:val="00CF7595"/>
    <w:rsid w:val="00D0308D"/>
    <w:rsid w:val="00D15DB0"/>
    <w:rsid w:val="00D21350"/>
    <w:rsid w:val="00D2364F"/>
    <w:rsid w:val="00D316E0"/>
    <w:rsid w:val="00D41DFA"/>
    <w:rsid w:val="00D425A3"/>
    <w:rsid w:val="00D563C0"/>
    <w:rsid w:val="00D574D9"/>
    <w:rsid w:val="00D61E02"/>
    <w:rsid w:val="00D62C19"/>
    <w:rsid w:val="00D665C6"/>
    <w:rsid w:val="00D70C64"/>
    <w:rsid w:val="00D738BB"/>
    <w:rsid w:val="00D75658"/>
    <w:rsid w:val="00D83C90"/>
    <w:rsid w:val="00D85C76"/>
    <w:rsid w:val="00D866F3"/>
    <w:rsid w:val="00D92CEC"/>
    <w:rsid w:val="00DA42F4"/>
    <w:rsid w:val="00DB1A1E"/>
    <w:rsid w:val="00DC148F"/>
    <w:rsid w:val="00DC65E2"/>
    <w:rsid w:val="00DD0602"/>
    <w:rsid w:val="00DD5219"/>
    <w:rsid w:val="00DF2F14"/>
    <w:rsid w:val="00DF74FB"/>
    <w:rsid w:val="00E107DB"/>
    <w:rsid w:val="00E266C4"/>
    <w:rsid w:val="00E2677B"/>
    <w:rsid w:val="00E2692B"/>
    <w:rsid w:val="00E30854"/>
    <w:rsid w:val="00E30A73"/>
    <w:rsid w:val="00E323F9"/>
    <w:rsid w:val="00E41F27"/>
    <w:rsid w:val="00E70A8E"/>
    <w:rsid w:val="00E71673"/>
    <w:rsid w:val="00E74E91"/>
    <w:rsid w:val="00E75A11"/>
    <w:rsid w:val="00E80971"/>
    <w:rsid w:val="00E8218A"/>
    <w:rsid w:val="00E834A0"/>
    <w:rsid w:val="00E83E84"/>
    <w:rsid w:val="00EA4E7E"/>
    <w:rsid w:val="00EB287C"/>
    <w:rsid w:val="00EC0D2F"/>
    <w:rsid w:val="00ED0CF3"/>
    <w:rsid w:val="00EE5250"/>
    <w:rsid w:val="00EE65DC"/>
    <w:rsid w:val="00EE65EA"/>
    <w:rsid w:val="00EE7822"/>
    <w:rsid w:val="00EE7D01"/>
    <w:rsid w:val="00EF4400"/>
    <w:rsid w:val="00F06D40"/>
    <w:rsid w:val="00F11E92"/>
    <w:rsid w:val="00F32023"/>
    <w:rsid w:val="00F368DE"/>
    <w:rsid w:val="00F544EC"/>
    <w:rsid w:val="00F54DFE"/>
    <w:rsid w:val="00F60F15"/>
    <w:rsid w:val="00F7084E"/>
    <w:rsid w:val="00F72BBC"/>
    <w:rsid w:val="00F86609"/>
    <w:rsid w:val="00F92384"/>
    <w:rsid w:val="00F9427B"/>
    <w:rsid w:val="00F97C1D"/>
    <w:rsid w:val="00FA2BC3"/>
    <w:rsid w:val="00FA54CB"/>
    <w:rsid w:val="00FA6A5C"/>
    <w:rsid w:val="00FA7C29"/>
    <w:rsid w:val="00FB771F"/>
    <w:rsid w:val="00FC1200"/>
    <w:rsid w:val="00FE0CFA"/>
    <w:rsid w:val="00FE0E54"/>
    <w:rsid w:val="00FE103F"/>
    <w:rsid w:val="00FE39DB"/>
    <w:rsid w:val="00FF14FC"/>
    <w:rsid w:val="00FF6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13FE"/>
  <w15:chartTrackingRefBased/>
  <w15:docId w15:val="{2950B538-89F9-45D3-AD9D-80D434FA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90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F6C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D3B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3BE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85C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53B"/>
    <w:pPr>
      <w:ind w:left="720"/>
      <w:contextualSpacing/>
    </w:pPr>
  </w:style>
  <w:style w:type="character" w:styleId="CommentReference">
    <w:name w:val="annotation reference"/>
    <w:basedOn w:val="DefaultParagraphFont"/>
    <w:uiPriority w:val="99"/>
    <w:semiHidden/>
    <w:unhideWhenUsed/>
    <w:rsid w:val="00FE39DB"/>
    <w:rPr>
      <w:sz w:val="16"/>
      <w:szCs w:val="16"/>
    </w:rPr>
  </w:style>
  <w:style w:type="paragraph" w:styleId="CommentText">
    <w:name w:val="annotation text"/>
    <w:basedOn w:val="Normal"/>
    <w:link w:val="CommentTextChar"/>
    <w:uiPriority w:val="99"/>
    <w:unhideWhenUsed/>
    <w:rsid w:val="00FE39DB"/>
    <w:rPr>
      <w:sz w:val="20"/>
      <w:szCs w:val="20"/>
    </w:rPr>
  </w:style>
  <w:style w:type="character" w:customStyle="1" w:styleId="CommentTextChar">
    <w:name w:val="Comment Text Char"/>
    <w:basedOn w:val="DefaultParagraphFont"/>
    <w:link w:val="CommentText"/>
    <w:uiPriority w:val="99"/>
    <w:rsid w:val="00FE39DB"/>
    <w:rPr>
      <w:sz w:val="20"/>
      <w:szCs w:val="20"/>
    </w:rPr>
  </w:style>
  <w:style w:type="paragraph" w:styleId="CommentSubject">
    <w:name w:val="annotation subject"/>
    <w:basedOn w:val="CommentText"/>
    <w:next w:val="CommentText"/>
    <w:link w:val="CommentSubjectChar"/>
    <w:uiPriority w:val="99"/>
    <w:semiHidden/>
    <w:unhideWhenUsed/>
    <w:rsid w:val="00FE39DB"/>
    <w:rPr>
      <w:b/>
      <w:bCs/>
    </w:rPr>
  </w:style>
  <w:style w:type="character" w:customStyle="1" w:styleId="CommentSubjectChar">
    <w:name w:val="Comment Subject Char"/>
    <w:basedOn w:val="CommentTextChar"/>
    <w:link w:val="CommentSubject"/>
    <w:uiPriority w:val="99"/>
    <w:semiHidden/>
    <w:rsid w:val="00FE39DB"/>
    <w:rPr>
      <w:b/>
      <w:bCs/>
      <w:sz w:val="20"/>
      <w:szCs w:val="20"/>
    </w:rPr>
  </w:style>
  <w:style w:type="paragraph" w:styleId="NormalWeb">
    <w:name w:val="Normal (Web)"/>
    <w:basedOn w:val="Normal"/>
    <w:uiPriority w:val="99"/>
    <w:unhideWhenUsed/>
    <w:rsid w:val="00EE65DC"/>
    <w:pPr>
      <w:spacing w:before="100" w:beforeAutospacing="1" w:after="100" w:afterAutospacing="1"/>
    </w:pPr>
    <w:rPr>
      <w:lang w:eastAsia="en-AU"/>
    </w:rPr>
  </w:style>
  <w:style w:type="paragraph" w:styleId="EndnoteText">
    <w:name w:val="endnote text"/>
    <w:basedOn w:val="Normal"/>
    <w:link w:val="EndnoteTextChar"/>
    <w:uiPriority w:val="99"/>
    <w:unhideWhenUsed/>
    <w:rsid w:val="00441AC6"/>
    <w:rPr>
      <w:sz w:val="20"/>
      <w:szCs w:val="20"/>
    </w:rPr>
  </w:style>
  <w:style w:type="character" w:customStyle="1" w:styleId="EndnoteTextChar">
    <w:name w:val="Endnote Text Char"/>
    <w:basedOn w:val="DefaultParagraphFont"/>
    <w:link w:val="EndnoteText"/>
    <w:uiPriority w:val="99"/>
    <w:rsid w:val="00441AC6"/>
    <w:rPr>
      <w:sz w:val="20"/>
      <w:szCs w:val="20"/>
    </w:rPr>
  </w:style>
  <w:style w:type="character" w:styleId="EndnoteReference">
    <w:name w:val="endnote reference"/>
    <w:basedOn w:val="DefaultParagraphFont"/>
    <w:uiPriority w:val="99"/>
    <w:semiHidden/>
    <w:unhideWhenUsed/>
    <w:rsid w:val="00441AC6"/>
    <w:rPr>
      <w:vertAlign w:val="superscript"/>
    </w:rPr>
  </w:style>
  <w:style w:type="paragraph" w:styleId="Header">
    <w:name w:val="header"/>
    <w:basedOn w:val="Normal"/>
    <w:link w:val="HeaderChar"/>
    <w:uiPriority w:val="99"/>
    <w:unhideWhenUsed/>
    <w:rsid w:val="00343FBD"/>
    <w:pPr>
      <w:tabs>
        <w:tab w:val="center" w:pos="4513"/>
        <w:tab w:val="right" w:pos="9026"/>
      </w:tabs>
    </w:pPr>
  </w:style>
  <w:style w:type="character" w:customStyle="1" w:styleId="HeaderChar">
    <w:name w:val="Header Char"/>
    <w:basedOn w:val="DefaultParagraphFont"/>
    <w:link w:val="Header"/>
    <w:uiPriority w:val="99"/>
    <w:rsid w:val="00343FBD"/>
  </w:style>
  <w:style w:type="paragraph" w:styleId="Footer">
    <w:name w:val="footer"/>
    <w:basedOn w:val="Normal"/>
    <w:link w:val="FooterChar"/>
    <w:uiPriority w:val="99"/>
    <w:unhideWhenUsed/>
    <w:rsid w:val="00343FBD"/>
    <w:pPr>
      <w:tabs>
        <w:tab w:val="center" w:pos="4513"/>
        <w:tab w:val="right" w:pos="9026"/>
      </w:tabs>
    </w:pPr>
  </w:style>
  <w:style w:type="character" w:customStyle="1" w:styleId="FooterChar">
    <w:name w:val="Footer Char"/>
    <w:basedOn w:val="DefaultParagraphFont"/>
    <w:link w:val="Footer"/>
    <w:uiPriority w:val="99"/>
    <w:rsid w:val="00343FBD"/>
  </w:style>
  <w:style w:type="paragraph" w:styleId="Revision">
    <w:name w:val="Revision"/>
    <w:hidden/>
    <w:uiPriority w:val="99"/>
    <w:semiHidden/>
    <w:rsid w:val="00110F7A"/>
    <w:pPr>
      <w:spacing w:after="0" w:line="240" w:lineRule="auto"/>
    </w:pPr>
  </w:style>
  <w:style w:type="paragraph" w:customStyle="1" w:styleId="pf0">
    <w:name w:val="pf0"/>
    <w:basedOn w:val="Normal"/>
    <w:rsid w:val="003D5919"/>
    <w:pPr>
      <w:spacing w:before="100" w:beforeAutospacing="1" w:after="100" w:afterAutospacing="1"/>
    </w:pPr>
    <w:rPr>
      <w:lang w:eastAsia="en-AU"/>
    </w:rPr>
  </w:style>
  <w:style w:type="character" w:customStyle="1" w:styleId="cf01">
    <w:name w:val="cf01"/>
    <w:basedOn w:val="DefaultParagraphFont"/>
    <w:rsid w:val="003D5919"/>
    <w:rPr>
      <w:rFonts w:ascii="Segoe UI" w:hAnsi="Segoe UI" w:cs="Segoe UI" w:hint="default"/>
      <w:sz w:val="18"/>
      <w:szCs w:val="18"/>
    </w:rPr>
  </w:style>
  <w:style w:type="character" w:styleId="Hyperlink">
    <w:name w:val="Hyperlink"/>
    <w:basedOn w:val="DefaultParagraphFont"/>
    <w:uiPriority w:val="99"/>
    <w:unhideWhenUsed/>
    <w:rsid w:val="00782220"/>
    <w:rPr>
      <w:color w:val="0563C1" w:themeColor="hyperlink"/>
      <w:u w:val="single"/>
    </w:rPr>
  </w:style>
  <w:style w:type="character" w:styleId="UnresolvedMention">
    <w:name w:val="Unresolved Mention"/>
    <w:basedOn w:val="DefaultParagraphFont"/>
    <w:uiPriority w:val="99"/>
    <w:semiHidden/>
    <w:unhideWhenUsed/>
    <w:rsid w:val="00782220"/>
    <w:rPr>
      <w:color w:val="605E5C"/>
      <w:shd w:val="clear" w:color="auto" w:fill="E1DFDD"/>
    </w:rPr>
  </w:style>
  <w:style w:type="character" w:styleId="FollowedHyperlink">
    <w:name w:val="FollowedHyperlink"/>
    <w:basedOn w:val="DefaultParagraphFont"/>
    <w:uiPriority w:val="99"/>
    <w:semiHidden/>
    <w:unhideWhenUsed/>
    <w:rsid w:val="00EE65EA"/>
    <w:rPr>
      <w:color w:val="954F72" w:themeColor="followedHyperlink"/>
      <w:u w:val="single"/>
    </w:rPr>
  </w:style>
  <w:style w:type="table" w:customStyle="1" w:styleId="6">
    <w:name w:val="6"/>
    <w:basedOn w:val="TableNormal"/>
    <w:rsid w:val="00C4683D"/>
    <w:pPr>
      <w:spacing w:after="0" w:line="240" w:lineRule="auto"/>
    </w:pPr>
    <w:rPr>
      <w:rFonts w:ascii="Calibri" w:eastAsia="Calibri" w:hAnsi="Calibri" w:cs="Calibri"/>
      <w:lang w:val="en-US"/>
    </w:rPr>
    <w:tblPr>
      <w:tblStyleRowBandSize w:val="1"/>
      <w:tblStyleColBandSize w:val="1"/>
    </w:tblPr>
  </w:style>
  <w:style w:type="paragraph" w:styleId="FootnoteText">
    <w:name w:val="footnote text"/>
    <w:basedOn w:val="Normal"/>
    <w:link w:val="FootnoteTextChar"/>
    <w:uiPriority w:val="99"/>
    <w:semiHidden/>
    <w:unhideWhenUsed/>
    <w:rsid w:val="004223E7"/>
    <w:rPr>
      <w:sz w:val="20"/>
      <w:szCs w:val="20"/>
    </w:rPr>
  </w:style>
  <w:style w:type="character" w:customStyle="1" w:styleId="FootnoteTextChar">
    <w:name w:val="Footnote Text Char"/>
    <w:basedOn w:val="DefaultParagraphFont"/>
    <w:link w:val="FootnoteText"/>
    <w:uiPriority w:val="99"/>
    <w:semiHidden/>
    <w:rsid w:val="004223E7"/>
    <w:rPr>
      <w:sz w:val="20"/>
      <w:szCs w:val="20"/>
    </w:rPr>
  </w:style>
  <w:style w:type="character" w:styleId="FootnoteReference">
    <w:name w:val="footnote reference"/>
    <w:basedOn w:val="DefaultParagraphFont"/>
    <w:uiPriority w:val="99"/>
    <w:semiHidden/>
    <w:unhideWhenUsed/>
    <w:rsid w:val="004223E7"/>
    <w:rPr>
      <w:vertAlign w:val="superscript"/>
    </w:rPr>
  </w:style>
  <w:style w:type="character" w:customStyle="1" w:styleId="markedcontent">
    <w:name w:val="markedcontent"/>
    <w:basedOn w:val="DefaultParagraphFont"/>
    <w:rsid w:val="002878F5"/>
  </w:style>
  <w:style w:type="character" w:customStyle="1" w:styleId="highlight">
    <w:name w:val="highlight"/>
    <w:basedOn w:val="DefaultParagraphFont"/>
    <w:rsid w:val="002878F5"/>
  </w:style>
  <w:style w:type="character" w:customStyle="1" w:styleId="Heading1Char">
    <w:name w:val="Heading 1 Char"/>
    <w:basedOn w:val="DefaultParagraphFont"/>
    <w:link w:val="Heading1"/>
    <w:uiPriority w:val="9"/>
    <w:rsid w:val="00FF6C41"/>
    <w:rPr>
      <w:rFonts w:ascii="Times New Roman" w:eastAsia="Times New Roman" w:hAnsi="Times New Roman" w:cs="Times New Roman"/>
      <w:b/>
      <w:bCs/>
      <w:kern w:val="36"/>
      <w:sz w:val="48"/>
      <w:szCs w:val="48"/>
      <w:lang w:eastAsia="en-GB"/>
    </w:rPr>
  </w:style>
  <w:style w:type="paragraph" w:customStyle="1" w:styleId="nova-legacy-e-listitem">
    <w:name w:val="nova-legacy-e-list__item"/>
    <w:basedOn w:val="Normal"/>
    <w:rsid w:val="00FF6C41"/>
    <w:pPr>
      <w:spacing w:before="100" w:beforeAutospacing="1" w:after="100" w:afterAutospacing="1"/>
    </w:pPr>
  </w:style>
  <w:style w:type="character" w:customStyle="1" w:styleId="Heading2Char">
    <w:name w:val="Heading 2 Char"/>
    <w:basedOn w:val="DefaultParagraphFont"/>
    <w:link w:val="Heading2"/>
    <w:uiPriority w:val="9"/>
    <w:rsid w:val="009D3BE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9D3BE5"/>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0339A3"/>
    <w:rPr>
      <w:b/>
      <w:bCs/>
    </w:rPr>
  </w:style>
  <w:style w:type="character" w:customStyle="1" w:styleId="Heading4Char">
    <w:name w:val="Heading 4 Char"/>
    <w:basedOn w:val="DefaultParagraphFont"/>
    <w:link w:val="Heading4"/>
    <w:uiPriority w:val="9"/>
    <w:rsid w:val="00D85C76"/>
    <w:rPr>
      <w:rFonts w:asciiTheme="majorHAnsi" w:eastAsiaTheme="majorEastAsia" w:hAnsiTheme="majorHAnsi" w:cstheme="majorBidi"/>
      <w:i/>
      <w:iCs/>
      <w:color w:val="2F5496" w:themeColor="accent1" w:themeShade="BF"/>
      <w:sz w:val="24"/>
      <w:szCs w:val="24"/>
      <w:lang w:eastAsia="en-GB"/>
    </w:rPr>
  </w:style>
  <w:style w:type="character" w:styleId="PageNumber">
    <w:name w:val="page number"/>
    <w:basedOn w:val="DefaultParagraphFont"/>
    <w:uiPriority w:val="99"/>
    <w:semiHidden/>
    <w:unhideWhenUsed/>
    <w:rsid w:val="0065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320">
      <w:bodyDiv w:val="1"/>
      <w:marLeft w:val="0"/>
      <w:marRight w:val="0"/>
      <w:marTop w:val="0"/>
      <w:marBottom w:val="0"/>
      <w:divBdr>
        <w:top w:val="none" w:sz="0" w:space="0" w:color="auto"/>
        <w:left w:val="none" w:sz="0" w:space="0" w:color="auto"/>
        <w:bottom w:val="none" w:sz="0" w:space="0" w:color="auto"/>
        <w:right w:val="none" w:sz="0" w:space="0" w:color="auto"/>
      </w:divBdr>
    </w:div>
    <w:div w:id="57364979">
      <w:bodyDiv w:val="1"/>
      <w:marLeft w:val="0"/>
      <w:marRight w:val="0"/>
      <w:marTop w:val="0"/>
      <w:marBottom w:val="0"/>
      <w:divBdr>
        <w:top w:val="none" w:sz="0" w:space="0" w:color="auto"/>
        <w:left w:val="none" w:sz="0" w:space="0" w:color="auto"/>
        <w:bottom w:val="none" w:sz="0" w:space="0" w:color="auto"/>
        <w:right w:val="none" w:sz="0" w:space="0" w:color="auto"/>
      </w:divBdr>
    </w:div>
    <w:div w:id="60755461">
      <w:bodyDiv w:val="1"/>
      <w:marLeft w:val="0"/>
      <w:marRight w:val="0"/>
      <w:marTop w:val="0"/>
      <w:marBottom w:val="0"/>
      <w:divBdr>
        <w:top w:val="none" w:sz="0" w:space="0" w:color="auto"/>
        <w:left w:val="none" w:sz="0" w:space="0" w:color="auto"/>
        <w:bottom w:val="none" w:sz="0" w:space="0" w:color="auto"/>
        <w:right w:val="none" w:sz="0" w:space="0" w:color="auto"/>
      </w:divBdr>
    </w:div>
    <w:div w:id="216556039">
      <w:bodyDiv w:val="1"/>
      <w:marLeft w:val="0"/>
      <w:marRight w:val="0"/>
      <w:marTop w:val="0"/>
      <w:marBottom w:val="0"/>
      <w:divBdr>
        <w:top w:val="none" w:sz="0" w:space="0" w:color="auto"/>
        <w:left w:val="none" w:sz="0" w:space="0" w:color="auto"/>
        <w:bottom w:val="none" w:sz="0" w:space="0" w:color="auto"/>
        <w:right w:val="none" w:sz="0" w:space="0" w:color="auto"/>
      </w:divBdr>
      <w:divsChild>
        <w:div w:id="977298266">
          <w:marLeft w:val="0"/>
          <w:marRight w:val="0"/>
          <w:marTop w:val="0"/>
          <w:marBottom w:val="0"/>
          <w:divBdr>
            <w:top w:val="none" w:sz="0" w:space="0" w:color="auto"/>
            <w:left w:val="none" w:sz="0" w:space="0" w:color="auto"/>
            <w:bottom w:val="none" w:sz="0" w:space="0" w:color="auto"/>
            <w:right w:val="none" w:sz="0" w:space="0" w:color="auto"/>
          </w:divBdr>
          <w:divsChild>
            <w:div w:id="848256361">
              <w:marLeft w:val="0"/>
              <w:marRight w:val="0"/>
              <w:marTop w:val="0"/>
              <w:marBottom w:val="0"/>
              <w:divBdr>
                <w:top w:val="none" w:sz="0" w:space="0" w:color="auto"/>
                <w:left w:val="none" w:sz="0" w:space="0" w:color="auto"/>
                <w:bottom w:val="none" w:sz="0" w:space="0" w:color="auto"/>
                <w:right w:val="none" w:sz="0" w:space="0" w:color="auto"/>
              </w:divBdr>
              <w:divsChild>
                <w:div w:id="973825933">
                  <w:marLeft w:val="0"/>
                  <w:marRight w:val="0"/>
                  <w:marTop w:val="0"/>
                  <w:marBottom w:val="0"/>
                  <w:divBdr>
                    <w:top w:val="none" w:sz="0" w:space="0" w:color="auto"/>
                    <w:left w:val="none" w:sz="0" w:space="0" w:color="auto"/>
                    <w:bottom w:val="none" w:sz="0" w:space="0" w:color="auto"/>
                    <w:right w:val="none" w:sz="0" w:space="0" w:color="auto"/>
                  </w:divBdr>
                  <w:divsChild>
                    <w:div w:id="6836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45184">
      <w:bodyDiv w:val="1"/>
      <w:marLeft w:val="0"/>
      <w:marRight w:val="0"/>
      <w:marTop w:val="0"/>
      <w:marBottom w:val="0"/>
      <w:divBdr>
        <w:top w:val="none" w:sz="0" w:space="0" w:color="auto"/>
        <w:left w:val="none" w:sz="0" w:space="0" w:color="auto"/>
        <w:bottom w:val="none" w:sz="0" w:space="0" w:color="auto"/>
        <w:right w:val="none" w:sz="0" w:space="0" w:color="auto"/>
      </w:divBdr>
    </w:div>
    <w:div w:id="233778124">
      <w:bodyDiv w:val="1"/>
      <w:marLeft w:val="0"/>
      <w:marRight w:val="0"/>
      <w:marTop w:val="0"/>
      <w:marBottom w:val="0"/>
      <w:divBdr>
        <w:top w:val="none" w:sz="0" w:space="0" w:color="auto"/>
        <w:left w:val="none" w:sz="0" w:space="0" w:color="auto"/>
        <w:bottom w:val="none" w:sz="0" w:space="0" w:color="auto"/>
        <w:right w:val="none" w:sz="0" w:space="0" w:color="auto"/>
      </w:divBdr>
    </w:div>
    <w:div w:id="234629701">
      <w:bodyDiv w:val="1"/>
      <w:marLeft w:val="0"/>
      <w:marRight w:val="0"/>
      <w:marTop w:val="0"/>
      <w:marBottom w:val="0"/>
      <w:divBdr>
        <w:top w:val="none" w:sz="0" w:space="0" w:color="auto"/>
        <w:left w:val="none" w:sz="0" w:space="0" w:color="auto"/>
        <w:bottom w:val="none" w:sz="0" w:space="0" w:color="auto"/>
        <w:right w:val="none" w:sz="0" w:space="0" w:color="auto"/>
      </w:divBdr>
    </w:div>
    <w:div w:id="351535538">
      <w:bodyDiv w:val="1"/>
      <w:marLeft w:val="0"/>
      <w:marRight w:val="0"/>
      <w:marTop w:val="0"/>
      <w:marBottom w:val="0"/>
      <w:divBdr>
        <w:top w:val="none" w:sz="0" w:space="0" w:color="auto"/>
        <w:left w:val="none" w:sz="0" w:space="0" w:color="auto"/>
        <w:bottom w:val="none" w:sz="0" w:space="0" w:color="auto"/>
        <w:right w:val="none" w:sz="0" w:space="0" w:color="auto"/>
      </w:divBdr>
    </w:div>
    <w:div w:id="368917597">
      <w:bodyDiv w:val="1"/>
      <w:marLeft w:val="0"/>
      <w:marRight w:val="0"/>
      <w:marTop w:val="0"/>
      <w:marBottom w:val="0"/>
      <w:divBdr>
        <w:top w:val="none" w:sz="0" w:space="0" w:color="auto"/>
        <w:left w:val="none" w:sz="0" w:space="0" w:color="auto"/>
        <w:bottom w:val="none" w:sz="0" w:space="0" w:color="auto"/>
        <w:right w:val="none" w:sz="0" w:space="0" w:color="auto"/>
      </w:divBdr>
    </w:div>
    <w:div w:id="465585162">
      <w:bodyDiv w:val="1"/>
      <w:marLeft w:val="0"/>
      <w:marRight w:val="0"/>
      <w:marTop w:val="0"/>
      <w:marBottom w:val="0"/>
      <w:divBdr>
        <w:top w:val="none" w:sz="0" w:space="0" w:color="auto"/>
        <w:left w:val="none" w:sz="0" w:space="0" w:color="auto"/>
        <w:bottom w:val="none" w:sz="0" w:space="0" w:color="auto"/>
        <w:right w:val="none" w:sz="0" w:space="0" w:color="auto"/>
      </w:divBdr>
    </w:div>
    <w:div w:id="551304888">
      <w:bodyDiv w:val="1"/>
      <w:marLeft w:val="0"/>
      <w:marRight w:val="0"/>
      <w:marTop w:val="0"/>
      <w:marBottom w:val="0"/>
      <w:divBdr>
        <w:top w:val="none" w:sz="0" w:space="0" w:color="auto"/>
        <w:left w:val="none" w:sz="0" w:space="0" w:color="auto"/>
        <w:bottom w:val="none" w:sz="0" w:space="0" w:color="auto"/>
        <w:right w:val="none" w:sz="0" w:space="0" w:color="auto"/>
      </w:divBdr>
    </w:div>
    <w:div w:id="563494226">
      <w:bodyDiv w:val="1"/>
      <w:marLeft w:val="0"/>
      <w:marRight w:val="0"/>
      <w:marTop w:val="0"/>
      <w:marBottom w:val="0"/>
      <w:divBdr>
        <w:top w:val="none" w:sz="0" w:space="0" w:color="auto"/>
        <w:left w:val="none" w:sz="0" w:space="0" w:color="auto"/>
        <w:bottom w:val="none" w:sz="0" w:space="0" w:color="auto"/>
        <w:right w:val="none" w:sz="0" w:space="0" w:color="auto"/>
      </w:divBdr>
      <w:divsChild>
        <w:div w:id="773136881">
          <w:marLeft w:val="0"/>
          <w:marRight w:val="0"/>
          <w:marTop w:val="0"/>
          <w:marBottom w:val="0"/>
          <w:divBdr>
            <w:top w:val="none" w:sz="0" w:space="0" w:color="auto"/>
            <w:left w:val="none" w:sz="0" w:space="0" w:color="auto"/>
            <w:bottom w:val="none" w:sz="0" w:space="0" w:color="auto"/>
            <w:right w:val="none" w:sz="0" w:space="0" w:color="auto"/>
          </w:divBdr>
          <w:divsChild>
            <w:div w:id="1537111823">
              <w:marLeft w:val="0"/>
              <w:marRight w:val="0"/>
              <w:marTop w:val="0"/>
              <w:marBottom w:val="0"/>
              <w:divBdr>
                <w:top w:val="none" w:sz="0" w:space="0" w:color="auto"/>
                <w:left w:val="none" w:sz="0" w:space="0" w:color="auto"/>
                <w:bottom w:val="none" w:sz="0" w:space="0" w:color="auto"/>
                <w:right w:val="none" w:sz="0" w:space="0" w:color="auto"/>
              </w:divBdr>
              <w:divsChild>
                <w:div w:id="1180241209">
                  <w:marLeft w:val="0"/>
                  <w:marRight w:val="0"/>
                  <w:marTop w:val="0"/>
                  <w:marBottom w:val="0"/>
                  <w:divBdr>
                    <w:top w:val="none" w:sz="0" w:space="0" w:color="auto"/>
                    <w:left w:val="none" w:sz="0" w:space="0" w:color="auto"/>
                    <w:bottom w:val="none" w:sz="0" w:space="0" w:color="auto"/>
                    <w:right w:val="none" w:sz="0" w:space="0" w:color="auto"/>
                  </w:divBdr>
                  <w:divsChild>
                    <w:div w:id="13724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0126">
      <w:bodyDiv w:val="1"/>
      <w:marLeft w:val="0"/>
      <w:marRight w:val="0"/>
      <w:marTop w:val="0"/>
      <w:marBottom w:val="0"/>
      <w:divBdr>
        <w:top w:val="none" w:sz="0" w:space="0" w:color="auto"/>
        <w:left w:val="none" w:sz="0" w:space="0" w:color="auto"/>
        <w:bottom w:val="none" w:sz="0" w:space="0" w:color="auto"/>
        <w:right w:val="none" w:sz="0" w:space="0" w:color="auto"/>
      </w:divBdr>
    </w:div>
    <w:div w:id="657728487">
      <w:bodyDiv w:val="1"/>
      <w:marLeft w:val="0"/>
      <w:marRight w:val="0"/>
      <w:marTop w:val="0"/>
      <w:marBottom w:val="0"/>
      <w:divBdr>
        <w:top w:val="none" w:sz="0" w:space="0" w:color="auto"/>
        <w:left w:val="none" w:sz="0" w:space="0" w:color="auto"/>
        <w:bottom w:val="none" w:sz="0" w:space="0" w:color="auto"/>
        <w:right w:val="none" w:sz="0" w:space="0" w:color="auto"/>
      </w:divBdr>
    </w:div>
    <w:div w:id="657811784">
      <w:bodyDiv w:val="1"/>
      <w:marLeft w:val="0"/>
      <w:marRight w:val="0"/>
      <w:marTop w:val="0"/>
      <w:marBottom w:val="0"/>
      <w:divBdr>
        <w:top w:val="none" w:sz="0" w:space="0" w:color="auto"/>
        <w:left w:val="none" w:sz="0" w:space="0" w:color="auto"/>
        <w:bottom w:val="none" w:sz="0" w:space="0" w:color="auto"/>
        <w:right w:val="none" w:sz="0" w:space="0" w:color="auto"/>
      </w:divBdr>
    </w:div>
    <w:div w:id="665520468">
      <w:bodyDiv w:val="1"/>
      <w:marLeft w:val="0"/>
      <w:marRight w:val="0"/>
      <w:marTop w:val="0"/>
      <w:marBottom w:val="0"/>
      <w:divBdr>
        <w:top w:val="none" w:sz="0" w:space="0" w:color="auto"/>
        <w:left w:val="none" w:sz="0" w:space="0" w:color="auto"/>
        <w:bottom w:val="none" w:sz="0" w:space="0" w:color="auto"/>
        <w:right w:val="none" w:sz="0" w:space="0" w:color="auto"/>
      </w:divBdr>
      <w:divsChild>
        <w:div w:id="1531189254">
          <w:marLeft w:val="0"/>
          <w:marRight w:val="0"/>
          <w:marTop w:val="0"/>
          <w:marBottom w:val="0"/>
          <w:divBdr>
            <w:top w:val="none" w:sz="0" w:space="0" w:color="auto"/>
            <w:left w:val="none" w:sz="0" w:space="0" w:color="auto"/>
            <w:bottom w:val="none" w:sz="0" w:space="0" w:color="auto"/>
            <w:right w:val="none" w:sz="0" w:space="0" w:color="auto"/>
          </w:divBdr>
          <w:divsChild>
            <w:div w:id="379866830">
              <w:marLeft w:val="0"/>
              <w:marRight w:val="0"/>
              <w:marTop w:val="0"/>
              <w:marBottom w:val="0"/>
              <w:divBdr>
                <w:top w:val="none" w:sz="0" w:space="0" w:color="auto"/>
                <w:left w:val="none" w:sz="0" w:space="0" w:color="auto"/>
                <w:bottom w:val="none" w:sz="0" w:space="0" w:color="auto"/>
                <w:right w:val="none" w:sz="0" w:space="0" w:color="auto"/>
              </w:divBdr>
            </w:div>
            <w:div w:id="1184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8835">
      <w:bodyDiv w:val="1"/>
      <w:marLeft w:val="0"/>
      <w:marRight w:val="0"/>
      <w:marTop w:val="0"/>
      <w:marBottom w:val="0"/>
      <w:divBdr>
        <w:top w:val="none" w:sz="0" w:space="0" w:color="auto"/>
        <w:left w:val="none" w:sz="0" w:space="0" w:color="auto"/>
        <w:bottom w:val="none" w:sz="0" w:space="0" w:color="auto"/>
        <w:right w:val="none" w:sz="0" w:space="0" w:color="auto"/>
      </w:divBdr>
      <w:divsChild>
        <w:div w:id="1506440118">
          <w:marLeft w:val="0"/>
          <w:marRight w:val="0"/>
          <w:marTop w:val="0"/>
          <w:marBottom w:val="0"/>
          <w:divBdr>
            <w:top w:val="none" w:sz="0" w:space="0" w:color="auto"/>
            <w:left w:val="none" w:sz="0" w:space="0" w:color="auto"/>
            <w:bottom w:val="none" w:sz="0" w:space="0" w:color="auto"/>
            <w:right w:val="none" w:sz="0" w:space="0" w:color="auto"/>
          </w:divBdr>
        </w:div>
      </w:divsChild>
    </w:div>
    <w:div w:id="720054411">
      <w:bodyDiv w:val="1"/>
      <w:marLeft w:val="0"/>
      <w:marRight w:val="0"/>
      <w:marTop w:val="0"/>
      <w:marBottom w:val="0"/>
      <w:divBdr>
        <w:top w:val="none" w:sz="0" w:space="0" w:color="auto"/>
        <w:left w:val="none" w:sz="0" w:space="0" w:color="auto"/>
        <w:bottom w:val="none" w:sz="0" w:space="0" w:color="auto"/>
        <w:right w:val="none" w:sz="0" w:space="0" w:color="auto"/>
      </w:divBdr>
    </w:div>
    <w:div w:id="926155990">
      <w:bodyDiv w:val="1"/>
      <w:marLeft w:val="0"/>
      <w:marRight w:val="0"/>
      <w:marTop w:val="0"/>
      <w:marBottom w:val="0"/>
      <w:divBdr>
        <w:top w:val="none" w:sz="0" w:space="0" w:color="auto"/>
        <w:left w:val="none" w:sz="0" w:space="0" w:color="auto"/>
        <w:bottom w:val="none" w:sz="0" w:space="0" w:color="auto"/>
        <w:right w:val="none" w:sz="0" w:space="0" w:color="auto"/>
      </w:divBdr>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310137700">
          <w:marLeft w:val="0"/>
          <w:marRight w:val="0"/>
          <w:marTop w:val="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0"/>
                  <w:divBdr>
                    <w:top w:val="none" w:sz="0" w:space="0" w:color="auto"/>
                    <w:left w:val="none" w:sz="0" w:space="0" w:color="auto"/>
                    <w:bottom w:val="none" w:sz="0" w:space="0" w:color="auto"/>
                    <w:right w:val="none" w:sz="0" w:space="0" w:color="auto"/>
                  </w:divBdr>
                  <w:divsChild>
                    <w:div w:id="20535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06076">
      <w:bodyDiv w:val="1"/>
      <w:marLeft w:val="0"/>
      <w:marRight w:val="0"/>
      <w:marTop w:val="0"/>
      <w:marBottom w:val="0"/>
      <w:divBdr>
        <w:top w:val="none" w:sz="0" w:space="0" w:color="auto"/>
        <w:left w:val="none" w:sz="0" w:space="0" w:color="auto"/>
        <w:bottom w:val="none" w:sz="0" w:space="0" w:color="auto"/>
        <w:right w:val="none" w:sz="0" w:space="0" w:color="auto"/>
      </w:divBdr>
    </w:div>
    <w:div w:id="1095127850">
      <w:bodyDiv w:val="1"/>
      <w:marLeft w:val="0"/>
      <w:marRight w:val="0"/>
      <w:marTop w:val="0"/>
      <w:marBottom w:val="0"/>
      <w:divBdr>
        <w:top w:val="none" w:sz="0" w:space="0" w:color="auto"/>
        <w:left w:val="none" w:sz="0" w:space="0" w:color="auto"/>
        <w:bottom w:val="none" w:sz="0" w:space="0" w:color="auto"/>
        <w:right w:val="none" w:sz="0" w:space="0" w:color="auto"/>
      </w:divBdr>
    </w:div>
    <w:div w:id="1121414238">
      <w:bodyDiv w:val="1"/>
      <w:marLeft w:val="0"/>
      <w:marRight w:val="0"/>
      <w:marTop w:val="0"/>
      <w:marBottom w:val="0"/>
      <w:divBdr>
        <w:top w:val="none" w:sz="0" w:space="0" w:color="auto"/>
        <w:left w:val="none" w:sz="0" w:space="0" w:color="auto"/>
        <w:bottom w:val="none" w:sz="0" w:space="0" w:color="auto"/>
        <w:right w:val="none" w:sz="0" w:space="0" w:color="auto"/>
      </w:divBdr>
    </w:div>
    <w:div w:id="1122728451">
      <w:bodyDiv w:val="1"/>
      <w:marLeft w:val="0"/>
      <w:marRight w:val="0"/>
      <w:marTop w:val="0"/>
      <w:marBottom w:val="0"/>
      <w:divBdr>
        <w:top w:val="none" w:sz="0" w:space="0" w:color="auto"/>
        <w:left w:val="none" w:sz="0" w:space="0" w:color="auto"/>
        <w:bottom w:val="none" w:sz="0" w:space="0" w:color="auto"/>
        <w:right w:val="none" w:sz="0" w:space="0" w:color="auto"/>
      </w:divBdr>
    </w:div>
    <w:div w:id="1136875781">
      <w:bodyDiv w:val="1"/>
      <w:marLeft w:val="0"/>
      <w:marRight w:val="0"/>
      <w:marTop w:val="0"/>
      <w:marBottom w:val="0"/>
      <w:divBdr>
        <w:top w:val="none" w:sz="0" w:space="0" w:color="auto"/>
        <w:left w:val="none" w:sz="0" w:space="0" w:color="auto"/>
        <w:bottom w:val="none" w:sz="0" w:space="0" w:color="auto"/>
        <w:right w:val="none" w:sz="0" w:space="0" w:color="auto"/>
      </w:divBdr>
      <w:divsChild>
        <w:div w:id="341471589">
          <w:marLeft w:val="0"/>
          <w:marRight w:val="0"/>
          <w:marTop w:val="0"/>
          <w:marBottom w:val="0"/>
          <w:divBdr>
            <w:top w:val="none" w:sz="0" w:space="0" w:color="auto"/>
            <w:left w:val="none" w:sz="0" w:space="0" w:color="auto"/>
            <w:bottom w:val="none" w:sz="0" w:space="0" w:color="auto"/>
            <w:right w:val="none" w:sz="0" w:space="0" w:color="auto"/>
          </w:divBdr>
          <w:divsChild>
            <w:div w:id="1278489160">
              <w:marLeft w:val="0"/>
              <w:marRight w:val="0"/>
              <w:marTop w:val="0"/>
              <w:marBottom w:val="0"/>
              <w:divBdr>
                <w:top w:val="none" w:sz="0" w:space="0" w:color="auto"/>
                <w:left w:val="none" w:sz="0" w:space="0" w:color="auto"/>
                <w:bottom w:val="none" w:sz="0" w:space="0" w:color="auto"/>
                <w:right w:val="none" w:sz="0" w:space="0" w:color="auto"/>
              </w:divBdr>
            </w:div>
          </w:divsChild>
        </w:div>
        <w:div w:id="2011447239">
          <w:marLeft w:val="0"/>
          <w:marRight w:val="0"/>
          <w:marTop w:val="0"/>
          <w:marBottom w:val="0"/>
          <w:divBdr>
            <w:top w:val="none" w:sz="0" w:space="0" w:color="auto"/>
            <w:left w:val="none" w:sz="0" w:space="0" w:color="auto"/>
            <w:bottom w:val="none" w:sz="0" w:space="0" w:color="auto"/>
            <w:right w:val="none" w:sz="0" w:space="0" w:color="auto"/>
          </w:divBdr>
          <w:divsChild>
            <w:div w:id="1411348578">
              <w:marLeft w:val="0"/>
              <w:marRight w:val="0"/>
              <w:marTop w:val="0"/>
              <w:marBottom w:val="0"/>
              <w:divBdr>
                <w:top w:val="none" w:sz="0" w:space="0" w:color="auto"/>
                <w:left w:val="none" w:sz="0" w:space="0" w:color="auto"/>
                <w:bottom w:val="none" w:sz="0" w:space="0" w:color="auto"/>
                <w:right w:val="none" w:sz="0" w:space="0" w:color="auto"/>
              </w:divBdr>
              <w:divsChild>
                <w:div w:id="1255898930">
                  <w:marLeft w:val="0"/>
                  <w:marRight w:val="0"/>
                  <w:marTop w:val="345"/>
                  <w:marBottom w:val="345"/>
                  <w:divBdr>
                    <w:top w:val="none" w:sz="0" w:space="0" w:color="auto"/>
                    <w:left w:val="none" w:sz="0" w:space="0" w:color="auto"/>
                    <w:bottom w:val="single" w:sz="12" w:space="10" w:color="E7E7E7"/>
                    <w:right w:val="none" w:sz="0" w:space="0" w:color="auto"/>
                  </w:divBdr>
                </w:div>
              </w:divsChild>
            </w:div>
          </w:divsChild>
        </w:div>
      </w:divsChild>
    </w:div>
    <w:div w:id="1143351420">
      <w:bodyDiv w:val="1"/>
      <w:marLeft w:val="0"/>
      <w:marRight w:val="0"/>
      <w:marTop w:val="0"/>
      <w:marBottom w:val="0"/>
      <w:divBdr>
        <w:top w:val="none" w:sz="0" w:space="0" w:color="auto"/>
        <w:left w:val="none" w:sz="0" w:space="0" w:color="auto"/>
        <w:bottom w:val="none" w:sz="0" w:space="0" w:color="auto"/>
        <w:right w:val="none" w:sz="0" w:space="0" w:color="auto"/>
      </w:divBdr>
    </w:div>
    <w:div w:id="1151941717">
      <w:bodyDiv w:val="1"/>
      <w:marLeft w:val="0"/>
      <w:marRight w:val="0"/>
      <w:marTop w:val="0"/>
      <w:marBottom w:val="0"/>
      <w:divBdr>
        <w:top w:val="none" w:sz="0" w:space="0" w:color="auto"/>
        <w:left w:val="none" w:sz="0" w:space="0" w:color="auto"/>
        <w:bottom w:val="none" w:sz="0" w:space="0" w:color="auto"/>
        <w:right w:val="none" w:sz="0" w:space="0" w:color="auto"/>
      </w:divBdr>
    </w:div>
    <w:div w:id="1296445744">
      <w:bodyDiv w:val="1"/>
      <w:marLeft w:val="0"/>
      <w:marRight w:val="0"/>
      <w:marTop w:val="0"/>
      <w:marBottom w:val="0"/>
      <w:divBdr>
        <w:top w:val="none" w:sz="0" w:space="0" w:color="auto"/>
        <w:left w:val="none" w:sz="0" w:space="0" w:color="auto"/>
        <w:bottom w:val="none" w:sz="0" w:space="0" w:color="auto"/>
        <w:right w:val="none" w:sz="0" w:space="0" w:color="auto"/>
      </w:divBdr>
    </w:div>
    <w:div w:id="1396515512">
      <w:bodyDiv w:val="1"/>
      <w:marLeft w:val="0"/>
      <w:marRight w:val="0"/>
      <w:marTop w:val="0"/>
      <w:marBottom w:val="0"/>
      <w:divBdr>
        <w:top w:val="none" w:sz="0" w:space="0" w:color="auto"/>
        <w:left w:val="none" w:sz="0" w:space="0" w:color="auto"/>
        <w:bottom w:val="none" w:sz="0" w:space="0" w:color="auto"/>
        <w:right w:val="none" w:sz="0" w:space="0" w:color="auto"/>
      </w:divBdr>
    </w:div>
    <w:div w:id="1545629336">
      <w:bodyDiv w:val="1"/>
      <w:marLeft w:val="0"/>
      <w:marRight w:val="0"/>
      <w:marTop w:val="0"/>
      <w:marBottom w:val="0"/>
      <w:divBdr>
        <w:top w:val="none" w:sz="0" w:space="0" w:color="auto"/>
        <w:left w:val="none" w:sz="0" w:space="0" w:color="auto"/>
        <w:bottom w:val="none" w:sz="0" w:space="0" w:color="auto"/>
        <w:right w:val="none" w:sz="0" w:space="0" w:color="auto"/>
      </w:divBdr>
    </w:div>
    <w:div w:id="1655987405">
      <w:bodyDiv w:val="1"/>
      <w:marLeft w:val="0"/>
      <w:marRight w:val="0"/>
      <w:marTop w:val="0"/>
      <w:marBottom w:val="0"/>
      <w:divBdr>
        <w:top w:val="none" w:sz="0" w:space="0" w:color="auto"/>
        <w:left w:val="none" w:sz="0" w:space="0" w:color="auto"/>
        <w:bottom w:val="none" w:sz="0" w:space="0" w:color="auto"/>
        <w:right w:val="none" w:sz="0" w:space="0" w:color="auto"/>
      </w:divBdr>
    </w:div>
    <w:div w:id="1660842795">
      <w:bodyDiv w:val="1"/>
      <w:marLeft w:val="0"/>
      <w:marRight w:val="0"/>
      <w:marTop w:val="0"/>
      <w:marBottom w:val="0"/>
      <w:divBdr>
        <w:top w:val="none" w:sz="0" w:space="0" w:color="auto"/>
        <w:left w:val="none" w:sz="0" w:space="0" w:color="auto"/>
        <w:bottom w:val="none" w:sz="0" w:space="0" w:color="auto"/>
        <w:right w:val="none" w:sz="0" w:space="0" w:color="auto"/>
      </w:divBdr>
      <w:divsChild>
        <w:div w:id="1194343461">
          <w:marLeft w:val="0"/>
          <w:marRight w:val="0"/>
          <w:marTop w:val="0"/>
          <w:marBottom w:val="0"/>
          <w:divBdr>
            <w:top w:val="none" w:sz="0" w:space="0" w:color="auto"/>
            <w:left w:val="none" w:sz="0" w:space="0" w:color="auto"/>
            <w:bottom w:val="none" w:sz="0" w:space="0" w:color="auto"/>
            <w:right w:val="none" w:sz="0" w:space="0" w:color="auto"/>
          </w:divBdr>
          <w:divsChild>
            <w:div w:id="1389961423">
              <w:marLeft w:val="0"/>
              <w:marRight w:val="0"/>
              <w:marTop w:val="0"/>
              <w:marBottom w:val="0"/>
              <w:divBdr>
                <w:top w:val="none" w:sz="0" w:space="0" w:color="auto"/>
                <w:left w:val="none" w:sz="0" w:space="0" w:color="auto"/>
                <w:bottom w:val="none" w:sz="0" w:space="0" w:color="auto"/>
                <w:right w:val="none" w:sz="0" w:space="0" w:color="auto"/>
              </w:divBdr>
              <w:divsChild>
                <w:div w:id="335155493">
                  <w:marLeft w:val="0"/>
                  <w:marRight w:val="0"/>
                  <w:marTop w:val="0"/>
                  <w:marBottom w:val="0"/>
                  <w:divBdr>
                    <w:top w:val="none" w:sz="0" w:space="0" w:color="auto"/>
                    <w:left w:val="none" w:sz="0" w:space="0" w:color="auto"/>
                    <w:bottom w:val="none" w:sz="0" w:space="0" w:color="auto"/>
                    <w:right w:val="none" w:sz="0" w:space="0" w:color="auto"/>
                  </w:divBdr>
                  <w:divsChild>
                    <w:div w:id="8309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948125">
      <w:bodyDiv w:val="1"/>
      <w:marLeft w:val="0"/>
      <w:marRight w:val="0"/>
      <w:marTop w:val="0"/>
      <w:marBottom w:val="0"/>
      <w:divBdr>
        <w:top w:val="none" w:sz="0" w:space="0" w:color="auto"/>
        <w:left w:val="none" w:sz="0" w:space="0" w:color="auto"/>
        <w:bottom w:val="none" w:sz="0" w:space="0" w:color="auto"/>
        <w:right w:val="none" w:sz="0" w:space="0" w:color="auto"/>
      </w:divBdr>
    </w:div>
    <w:div w:id="1703631619">
      <w:bodyDiv w:val="1"/>
      <w:marLeft w:val="0"/>
      <w:marRight w:val="0"/>
      <w:marTop w:val="0"/>
      <w:marBottom w:val="0"/>
      <w:divBdr>
        <w:top w:val="none" w:sz="0" w:space="0" w:color="auto"/>
        <w:left w:val="none" w:sz="0" w:space="0" w:color="auto"/>
        <w:bottom w:val="none" w:sz="0" w:space="0" w:color="auto"/>
        <w:right w:val="none" w:sz="0" w:space="0" w:color="auto"/>
      </w:divBdr>
      <w:divsChild>
        <w:div w:id="475341789">
          <w:marLeft w:val="0"/>
          <w:marRight w:val="0"/>
          <w:marTop w:val="0"/>
          <w:marBottom w:val="0"/>
          <w:divBdr>
            <w:top w:val="none" w:sz="0" w:space="0" w:color="auto"/>
            <w:left w:val="none" w:sz="0" w:space="0" w:color="auto"/>
            <w:bottom w:val="none" w:sz="0" w:space="0" w:color="auto"/>
            <w:right w:val="none" w:sz="0" w:space="0" w:color="auto"/>
          </w:divBdr>
          <w:divsChild>
            <w:div w:id="17435489">
              <w:marLeft w:val="0"/>
              <w:marRight w:val="0"/>
              <w:marTop w:val="0"/>
              <w:marBottom w:val="0"/>
              <w:divBdr>
                <w:top w:val="none" w:sz="0" w:space="0" w:color="auto"/>
                <w:left w:val="none" w:sz="0" w:space="0" w:color="auto"/>
                <w:bottom w:val="none" w:sz="0" w:space="0" w:color="auto"/>
                <w:right w:val="none" w:sz="0" w:space="0" w:color="auto"/>
              </w:divBdr>
              <w:divsChild>
                <w:div w:id="1196701253">
                  <w:marLeft w:val="0"/>
                  <w:marRight w:val="0"/>
                  <w:marTop w:val="0"/>
                  <w:marBottom w:val="0"/>
                  <w:divBdr>
                    <w:top w:val="none" w:sz="0" w:space="0" w:color="auto"/>
                    <w:left w:val="none" w:sz="0" w:space="0" w:color="auto"/>
                    <w:bottom w:val="none" w:sz="0" w:space="0" w:color="auto"/>
                    <w:right w:val="none" w:sz="0" w:space="0" w:color="auto"/>
                  </w:divBdr>
                  <w:divsChild>
                    <w:div w:id="18493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5429">
      <w:bodyDiv w:val="1"/>
      <w:marLeft w:val="0"/>
      <w:marRight w:val="0"/>
      <w:marTop w:val="0"/>
      <w:marBottom w:val="0"/>
      <w:divBdr>
        <w:top w:val="none" w:sz="0" w:space="0" w:color="auto"/>
        <w:left w:val="none" w:sz="0" w:space="0" w:color="auto"/>
        <w:bottom w:val="none" w:sz="0" w:space="0" w:color="auto"/>
        <w:right w:val="none" w:sz="0" w:space="0" w:color="auto"/>
      </w:divBdr>
      <w:divsChild>
        <w:div w:id="430591481">
          <w:marLeft w:val="0"/>
          <w:marRight w:val="0"/>
          <w:marTop w:val="0"/>
          <w:marBottom w:val="0"/>
          <w:divBdr>
            <w:top w:val="none" w:sz="0" w:space="0" w:color="auto"/>
            <w:left w:val="none" w:sz="0" w:space="0" w:color="auto"/>
            <w:bottom w:val="none" w:sz="0" w:space="0" w:color="auto"/>
            <w:right w:val="none" w:sz="0" w:space="0" w:color="auto"/>
          </w:divBdr>
          <w:divsChild>
            <w:div w:id="423453302">
              <w:marLeft w:val="0"/>
              <w:marRight w:val="0"/>
              <w:marTop w:val="0"/>
              <w:marBottom w:val="0"/>
              <w:divBdr>
                <w:top w:val="none" w:sz="0" w:space="0" w:color="auto"/>
                <w:left w:val="none" w:sz="0" w:space="0" w:color="auto"/>
                <w:bottom w:val="none" w:sz="0" w:space="0" w:color="auto"/>
                <w:right w:val="none" w:sz="0" w:space="0" w:color="auto"/>
              </w:divBdr>
            </w:div>
            <w:div w:id="20679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392">
      <w:bodyDiv w:val="1"/>
      <w:marLeft w:val="0"/>
      <w:marRight w:val="0"/>
      <w:marTop w:val="0"/>
      <w:marBottom w:val="0"/>
      <w:divBdr>
        <w:top w:val="none" w:sz="0" w:space="0" w:color="auto"/>
        <w:left w:val="none" w:sz="0" w:space="0" w:color="auto"/>
        <w:bottom w:val="none" w:sz="0" w:space="0" w:color="auto"/>
        <w:right w:val="none" w:sz="0" w:space="0" w:color="auto"/>
      </w:divBdr>
    </w:div>
    <w:div w:id="2019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search.informit.org/doi/epdf/10.3316/ielapa.643296090724817" TargetMode="External"/><Relationship Id="rId13" Type="http://schemas.openxmlformats.org/officeDocument/2006/relationships/hyperlink" Target="https://research.acer.edu.au/ar_misc/15/" TargetMode="External"/><Relationship Id="rId3" Type="http://schemas.openxmlformats.org/officeDocument/2006/relationships/hyperlink" Target="https://www.researchgate.net/journal/Educational-Research-Review-1747-938X" TargetMode="External"/><Relationship Id="rId7" Type="http://schemas.openxmlformats.org/officeDocument/2006/relationships/hyperlink" Target="https://research.acer.edu.au/cgi/viewcontent.cgi?article=1023&amp;context=ozpisa" TargetMode="External"/><Relationship Id="rId12" Type="http://schemas.openxmlformats.org/officeDocument/2006/relationships/hyperlink" Target="https://www.acara.edu.au/docs/default-source/default-document-library/national-report-on-schooling-in-australia-2020.pdf?sfvrsn=3faa4c07_0" TargetMode="External"/><Relationship Id="rId17" Type="http://schemas.openxmlformats.org/officeDocument/2006/relationships/hyperlink" Target="https://saveourschools.com.au/funding/stuart-roberts-duplicities-on-school-funding-and-outcomes/" TargetMode="External"/><Relationship Id="rId2" Type="http://schemas.openxmlformats.org/officeDocument/2006/relationships/hyperlink" Target="https://www.acnc.gov.au/charity/charities/e3401b57-7c06-ea11-a811-000d3ad1fbf8/profile" TargetMode="External"/><Relationship Id="rId16" Type="http://schemas.openxmlformats.org/officeDocument/2006/relationships/hyperlink" Target="https://saveourschools.com.au/media-releases/private-schools-over-funded-by-6-billion-public-schools-under-funded-by-60-billion/" TargetMode="External"/><Relationship Id="rId1" Type="http://schemas.openxmlformats.org/officeDocument/2006/relationships/hyperlink" Target="https://all-learning.org.au/" TargetMode="External"/><Relationship Id="rId6" Type="http://schemas.openxmlformats.org/officeDocument/2006/relationships/hyperlink" Target="https://research.acer.edu.au/cgi/viewcontent.cgi?article=1023&amp;context=ozpisa" TargetMode="External"/><Relationship Id="rId11" Type="http://schemas.openxmlformats.org/officeDocument/2006/relationships/hyperlink" Target="https://doi.org/10.1787/2592c974-en" TargetMode="External"/><Relationship Id="rId5" Type="http://schemas.openxmlformats.org/officeDocument/2006/relationships/hyperlink" Target="https://research.acer.edu.au/cgi/viewcontent.cgi?article=1023&amp;context=ozpisa" TargetMode="External"/><Relationship Id="rId15" Type="http://schemas.openxmlformats.org/officeDocument/2006/relationships/hyperlink" Target="https://doi.org/10.1787/2592c974-en" TargetMode="External"/><Relationship Id="rId10" Type="http://schemas.openxmlformats.org/officeDocument/2006/relationships/hyperlink" Target="https://docs.iza.org/dp13938.pdf" TargetMode="External"/><Relationship Id="rId4" Type="http://schemas.openxmlformats.org/officeDocument/2006/relationships/hyperlink" Target="http://dx.doi.org/10.2139/ssrn.1402645" TargetMode="External"/><Relationship Id="rId9" Type="http://schemas.openxmlformats.org/officeDocument/2006/relationships/hyperlink" Target="https://doi.org/10.1787/2592c974-en" TargetMode="External"/><Relationship Id="rId14" Type="http://schemas.openxmlformats.org/officeDocument/2006/relationships/hyperlink" Target="https://goodtogreatschools.org.au/wp-content/uploads/2017/05/John-Hattie-Jack-Keating-Memorial-Lecture-2016-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02C8-AF41-4735-BA4A-6B43A39E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Bonnor</dc:creator>
  <cp:keywords/>
  <dc:description/>
  <cp:lastModifiedBy>Andrew Hiskens</cp:lastModifiedBy>
  <cp:revision>4</cp:revision>
  <cp:lastPrinted>2022-05-16T23:58:00Z</cp:lastPrinted>
  <dcterms:created xsi:type="dcterms:W3CDTF">2022-06-14T02:15:00Z</dcterms:created>
  <dcterms:modified xsi:type="dcterms:W3CDTF">2022-06-14T02:21:00Z</dcterms:modified>
</cp:coreProperties>
</file>